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1C02B" w14:textId="34B72EA2" w:rsidR="00113CB0" w:rsidRPr="00113CB0" w:rsidRDefault="00C0653D" w:rsidP="00BB7077">
      <w:pPr>
        <w:jc w:val="both"/>
        <w:rPr>
          <w:rFonts w:ascii="Titillium" w:hAnsi="Titillium" w:cs="Titillium Web"/>
          <w:sz w:val="20"/>
          <w:szCs w:val="20"/>
        </w:rPr>
      </w:pPr>
      <w:bookmarkStart w:id="0" w:name="_Hlk229934994"/>
      <w:r w:rsidRPr="00691E8A">
        <w:rPr>
          <w:rFonts w:ascii="Titillium" w:hAnsi="Titillium" w:cs="Titillium Web"/>
          <w:sz w:val="20"/>
          <w:szCs w:val="20"/>
        </w:rPr>
        <w:t>Il/La sottoscritto/a</w:t>
      </w:r>
      <w:r w:rsidR="00324933">
        <w:rPr>
          <w:rFonts w:ascii="Titillium" w:hAnsi="Titillium" w:cs="Titillium Web"/>
          <w:sz w:val="20"/>
          <w:szCs w:val="20"/>
        </w:rPr>
        <w:t xml:space="preserve"> ing. </w:t>
      </w:r>
      <w:r w:rsidRPr="003D2AF2">
        <w:rPr>
          <w:rFonts w:ascii="Titillium" w:hAnsi="Titillium" w:cs="Titillium Web"/>
          <w:sz w:val="20"/>
          <w:szCs w:val="20"/>
          <w:highlight w:val="yellow"/>
        </w:rPr>
        <w:t>______________________________</w:t>
      </w:r>
      <w:r w:rsidR="00BB7077">
        <w:rPr>
          <w:rFonts w:ascii="Titillium" w:hAnsi="Titillium" w:cs="Titillium Web"/>
          <w:sz w:val="20"/>
          <w:szCs w:val="20"/>
        </w:rPr>
        <w:t>,</w:t>
      </w:r>
      <w:r w:rsidR="0054713A">
        <w:rPr>
          <w:rFonts w:ascii="Titillium" w:hAnsi="Titillium" w:cs="Titillium Web"/>
          <w:sz w:val="20"/>
          <w:szCs w:val="20"/>
        </w:rPr>
        <w:t xml:space="preserve"> </w:t>
      </w:r>
      <w:r w:rsidR="008B77B1">
        <w:rPr>
          <w:rFonts w:ascii="Titillium" w:hAnsi="Titillium" w:cs="Titillium Web"/>
          <w:sz w:val="20"/>
          <w:szCs w:val="20"/>
        </w:rPr>
        <w:t xml:space="preserve">con riferimento all’incarico di </w:t>
      </w:r>
      <w:r w:rsidR="00BB7077">
        <w:rPr>
          <w:rFonts w:ascii="Titillium" w:hAnsi="Titillium" w:cs="Titillium Web"/>
          <w:sz w:val="20"/>
          <w:szCs w:val="20"/>
        </w:rPr>
        <w:t xml:space="preserve">Consigliere eletto </w:t>
      </w:r>
      <w:r w:rsidR="0054713A" w:rsidRPr="00CF42DA">
        <w:rPr>
          <w:rFonts w:ascii="Titillium" w:hAnsi="Titillium" w:cs="Titillium Web"/>
          <w:sz w:val="20"/>
          <w:szCs w:val="20"/>
        </w:rPr>
        <w:t xml:space="preserve">in corso di </w:t>
      </w:r>
      <w:r w:rsidR="00BB7077">
        <w:rPr>
          <w:rFonts w:ascii="Titillium" w:hAnsi="Titillium" w:cs="Titillium Web"/>
          <w:sz w:val="20"/>
          <w:szCs w:val="20"/>
        </w:rPr>
        <w:t xml:space="preserve">proclamazione </w:t>
      </w:r>
      <w:r w:rsidR="008B77B1">
        <w:rPr>
          <w:rFonts w:ascii="Titillium" w:hAnsi="Titillium" w:cs="Titillium Web"/>
          <w:sz w:val="20"/>
          <w:szCs w:val="20"/>
        </w:rPr>
        <w:t xml:space="preserve">presso </w:t>
      </w:r>
      <w:r w:rsidR="00BB7077" w:rsidRPr="00BB7077">
        <w:rPr>
          <w:rFonts w:ascii="Titillium" w:hAnsi="Titillium" w:cs="Titillium Web"/>
          <w:sz w:val="20"/>
          <w:szCs w:val="20"/>
        </w:rPr>
        <w:t>l’Ordine degli Ingegneri della provincia di Foggia</w:t>
      </w:r>
      <w:r w:rsidRPr="00BB7077">
        <w:rPr>
          <w:rFonts w:ascii="Titillium" w:hAnsi="Titillium" w:cs="Titillium Web"/>
          <w:sz w:val="20"/>
          <w:szCs w:val="20"/>
        </w:rPr>
        <w:t>,</w:t>
      </w:r>
      <w:r w:rsidR="00113CB0" w:rsidRPr="00113CB0">
        <w:rPr>
          <w:sz w:val="20"/>
        </w:rPr>
        <w:t xml:space="preserve"> </w:t>
      </w:r>
      <w:r w:rsidR="00113CB0" w:rsidRPr="00BD6D9B">
        <w:rPr>
          <w:rFonts w:ascii="Titillium" w:hAnsi="Titillium" w:cs="Titillium Web"/>
          <w:sz w:val="20"/>
          <w:szCs w:val="20"/>
        </w:rPr>
        <w:t>ai sensi delle disposizioni di cui agli articoli 46 e 47 del D.P.R. 28 dicembre 2000, n. 445 “Testo unico delle disposizioni legislative e regolamentari in materia di documentazione amministrativa”, nonché a</w:t>
      </w:r>
      <w:r w:rsidR="00113CB0" w:rsidRPr="00113CB0">
        <w:rPr>
          <w:rFonts w:ascii="Titillium" w:hAnsi="Titillium" w:cs="Titillium Web"/>
          <w:sz w:val="20"/>
          <w:szCs w:val="20"/>
        </w:rPr>
        <w:t xml:space="preserve">i sensi dell’art. 20 del d.lgs. n. 39 dell’08.04.2013, consapevole delle responsabilità penali in caso di dichiarazioni mendaci, falsità in atti e uso di atti falsi, di cui agli articoli 75 e 76 del citato D.P.R. n. 445/2000, nonché delle sanzioni di cui all’art. 20, comma </w:t>
      </w:r>
      <w:r w:rsidR="00113CB0" w:rsidRPr="00C541DE">
        <w:rPr>
          <w:rFonts w:ascii="Titillium" w:hAnsi="Titillium" w:cs="Titillium Web"/>
          <w:sz w:val="20"/>
          <w:szCs w:val="20"/>
        </w:rPr>
        <w:t>5</w:t>
      </w:r>
      <w:r w:rsidR="003440FD" w:rsidRPr="00C541DE">
        <w:rPr>
          <w:rFonts w:ascii="Titillium" w:hAnsi="Titillium" w:cs="Titillium Web"/>
          <w:sz w:val="20"/>
          <w:szCs w:val="20"/>
        </w:rPr>
        <w:t>,</w:t>
      </w:r>
      <w:r w:rsidR="00113CB0" w:rsidRPr="00C541DE">
        <w:rPr>
          <w:rFonts w:ascii="Titillium" w:hAnsi="Titillium" w:cs="Titillium Web"/>
          <w:sz w:val="20"/>
          <w:szCs w:val="20"/>
        </w:rPr>
        <w:t xml:space="preserve"> del</w:t>
      </w:r>
      <w:r w:rsidR="00113CB0" w:rsidRPr="00113CB0">
        <w:rPr>
          <w:rFonts w:ascii="Titillium" w:hAnsi="Titillium" w:cs="Titillium Web"/>
          <w:sz w:val="20"/>
          <w:szCs w:val="20"/>
        </w:rPr>
        <w:t xml:space="preserve"> d.lgs. n. 39 dell’08.04.2013</w:t>
      </w:r>
      <w:r w:rsidR="001F57F5">
        <w:rPr>
          <w:rFonts w:ascii="Titillium" w:hAnsi="Titillium" w:cs="Titillium Web"/>
          <w:sz w:val="20"/>
          <w:szCs w:val="20"/>
        </w:rPr>
        <w:t xml:space="preserve"> </w:t>
      </w:r>
    </w:p>
    <w:bookmarkEnd w:id="0"/>
    <w:p w14:paraId="77E5F461" w14:textId="54FBD6D3" w:rsidR="00A76C67" w:rsidRPr="004A6D39" w:rsidRDefault="00C0653D" w:rsidP="00A76C67">
      <w:pPr>
        <w:spacing w:line="360" w:lineRule="auto"/>
        <w:jc w:val="center"/>
        <w:rPr>
          <w:rFonts w:ascii="Titillium" w:hAnsi="Titillium" w:cs="Titillium Web"/>
          <w:b/>
          <w:bCs/>
          <w:sz w:val="20"/>
          <w:szCs w:val="20"/>
        </w:rPr>
      </w:pPr>
      <w:r w:rsidRPr="004A6D39">
        <w:rPr>
          <w:rFonts w:ascii="Titillium" w:hAnsi="Titillium" w:cs="Titillium Web"/>
          <w:b/>
          <w:bCs/>
          <w:sz w:val="20"/>
          <w:szCs w:val="20"/>
        </w:rPr>
        <w:t>DICH</w:t>
      </w:r>
      <w:r w:rsidR="00095A1A" w:rsidRPr="004A6D39">
        <w:rPr>
          <w:rFonts w:ascii="Titillium" w:hAnsi="Titillium" w:cs="Titillium Web"/>
          <w:b/>
          <w:bCs/>
          <w:sz w:val="20"/>
          <w:szCs w:val="20"/>
        </w:rPr>
        <w:t>IARA</w:t>
      </w:r>
      <w:r w:rsidR="004A6D39" w:rsidRPr="00AE45ED">
        <w:rPr>
          <w:rStyle w:val="Rimandonotaapidipagina"/>
          <w:sz w:val="20"/>
        </w:rPr>
        <w:footnoteReference w:id="1"/>
      </w:r>
    </w:p>
    <w:p w14:paraId="7E3C4458" w14:textId="3606F833" w:rsidR="00CE4F92" w:rsidRDefault="00095A1A" w:rsidP="00783A52">
      <w:pPr>
        <w:tabs>
          <w:tab w:val="left" w:pos="142"/>
        </w:tabs>
        <w:spacing w:line="360" w:lineRule="auto"/>
        <w:jc w:val="both"/>
        <w:rPr>
          <w:rFonts w:ascii="Titillium" w:hAnsi="Titillium" w:cs="Titillium Web"/>
          <w:sz w:val="20"/>
          <w:szCs w:val="20"/>
        </w:rPr>
      </w:pPr>
      <w:r w:rsidRPr="0054713A">
        <w:rPr>
          <w:rFonts w:ascii="Titillium" w:hAnsi="Titillium" w:cs="Titillium Web"/>
          <w:sz w:val="20"/>
          <w:szCs w:val="20"/>
        </w:rPr>
        <w:t>c</w:t>
      </w:r>
      <w:r w:rsidR="0015463B" w:rsidRPr="0054713A">
        <w:rPr>
          <w:rFonts w:ascii="Titillium" w:hAnsi="Titillium" w:cs="Titillium Web"/>
          <w:sz w:val="20"/>
          <w:szCs w:val="20"/>
        </w:rPr>
        <w:t xml:space="preserve">on riferimento alle situazioni di </w:t>
      </w:r>
      <w:r w:rsidR="0015463B" w:rsidRPr="0054713A">
        <w:rPr>
          <w:rFonts w:ascii="Titillium" w:hAnsi="Titillium" w:cs="Titillium Web"/>
          <w:b/>
          <w:sz w:val="20"/>
          <w:szCs w:val="20"/>
        </w:rPr>
        <w:t>INCONFERIBILITA’</w:t>
      </w:r>
      <w:r w:rsidR="002A43B7" w:rsidRPr="0054713A">
        <w:rPr>
          <w:rFonts w:ascii="Titillium" w:hAnsi="Titillium" w:cs="Titillium Web"/>
          <w:sz w:val="20"/>
          <w:szCs w:val="20"/>
        </w:rPr>
        <w:t xml:space="preserve"> disciplinate dal d</w:t>
      </w:r>
      <w:r w:rsidR="0015463B" w:rsidRPr="0054713A">
        <w:rPr>
          <w:rFonts w:ascii="Titillium" w:hAnsi="Titillium" w:cs="Titillium Web"/>
          <w:sz w:val="20"/>
          <w:szCs w:val="20"/>
        </w:rPr>
        <w:t>.lgs. n. 39/2013</w:t>
      </w:r>
      <w:r w:rsidR="00F72E24">
        <w:rPr>
          <w:rFonts w:ascii="Titillium" w:hAnsi="Titillium" w:cs="Titillium Web"/>
          <w:sz w:val="20"/>
          <w:szCs w:val="20"/>
        </w:rPr>
        <w:t>:</w:t>
      </w:r>
    </w:p>
    <w:p w14:paraId="77C3FF05" w14:textId="4CF1CE2F" w:rsidR="00991B5F" w:rsidRDefault="00F72E24" w:rsidP="00F72E24">
      <w:pPr>
        <w:pStyle w:val="Paragrafoelenco"/>
        <w:tabs>
          <w:tab w:val="left" w:pos="993"/>
        </w:tabs>
        <w:ind w:left="709"/>
        <w:contextualSpacing w:val="0"/>
        <w:jc w:val="both"/>
        <w:rPr>
          <w:rFonts w:ascii="Titillium" w:hAnsi="Titillium"/>
          <w:b/>
          <w:bCs/>
          <w:sz w:val="20"/>
        </w:rPr>
      </w:pPr>
      <w:r>
        <w:rPr>
          <w:rFonts w:ascii="Titillium" w:hAnsi="Titillium"/>
          <w:b/>
          <w:bCs/>
          <w:sz w:val="20"/>
        </w:rPr>
        <w:t>(</w:t>
      </w:r>
      <w:r w:rsidR="00D15D33" w:rsidRPr="00D15D33">
        <w:rPr>
          <w:rFonts w:ascii="Titillium" w:hAnsi="Titillium"/>
          <w:b/>
          <w:bCs/>
          <w:sz w:val="20"/>
        </w:rPr>
        <w:t>Inconferibilità in caso di condanna per reati contro la pubblica amministrazione</w:t>
      </w:r>
      <w:r>
        <w:rPr>
          <w:rFonts w:ascii="Titillium" w:hAnsi="Titillium"/>
          <w:b/>
          <w:bCs/>
          <w:sz w:val="20"/>
        </w:rPr>
        <w:t>)</w:t>
      </w:r>
    </w:p>
    <w:bookmarkStart w:id="1" w:name="_Hlk225962535"/>
    <w:bookmarkStart w:id="2" w:name="_Hlk178258087"/>
    <w:p w14:paraId="6916E631" w14:textId="75E13B4A" w:rsidR="0015463B" w:rsidRDefault="0008268A" w:rsidP="00C85013">
      <w:pPr>
        <w:pStyle w:val="Paragrafoelenco"/>
        <w:tabs>
          <w:tab w:val="left" w:pos="851"/>
        </w:tabs>
        <w:ind w:left="567" w:hanging="283"/>
        <w:contextualSpacing w:val="0"/>
        <w:jc w:val="both"/>
        <w:rPr>
          <w:rFonts w:ascii="Titillium" w:hAnsi="Titillium"/>
          <w:sz w:val="20"/>
        </w:rPr>
      </w:pPr>
      <w:sdt>
        <w:sdtPr>
          <w:rPr>
            <w:rFonts w:ascii="Titillium" w:hAnsi="Titillium"/>
            <w:b/>
            <w:bCs/>
            <w:sz w:val="20"/>
          </w:rPr>
          <w:id w:val="329642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5013" w:rsidRPr="00C85013">
            <w:rPr>
              <w:rFonts w:ascii="MS Gothic" w:eastAsia="MS Gothic" w:hAnsi="MS Gothic" w:hint="eastAsia"/>
              <w:b/>
              <w:bCs/>
              <w:sz w:val="20"/>
            </w:rPr>
            <w:t>☐</w:t>
          </w:r>
        </w:sdtContent>
      </w:sdt>
      <w:r w:rsidR="00C85013">
        <w:rPr>
          <w:rFonts w:ascii="Titillium" w:hAnsi="Titillium"/>
          <w:sz w:val="20"/>
        </w:rPr>
        <w:t xml:space="preserve"> </w:t>
      </w:r>
      <w:bookmarkEnd w:id="1"/>
      <w:r w:rsidR="004A6D39">
        <w:rPr>
          <w:rFonts w:ascii="Titillium" w:hAnsi="Titillium"/>
          <w:sz w:val="20"/>
        </w:rPr>
        <w:t xml:space="preserve">di </w:t>
      </w:r>
      <w:r w:rsidR="00F72E24">
        <w:rPr>
          <w:rFonts w:ascii="Titillium" w:hAnsi="Titillium"/>
          <w:sz w:val="20"/>
        </w:rPr>
        <w:t xml:space="preserve">non trovarsi nella situazione di </w:t>
      </w:r>
      <w:proofErr w:type="spellStart"/>
      <w:r w:rsidR="00F72E24">
        <w:rPr>
          <w:rFonts w:ascii="Titillium" w:hAnsi="Titillium"/>
          <w:sz w:val="20"/>
        </w:rPr>
        <w:t>inconferibilità</w:t>
      </w:r>
      <w:proofErr w:type="spellEnd"/>
      <w:r w:rsidR="00F72E24">
        <w:rPr>
          <w:rFonts w:ascii="Titillium" w:hAnsi="Titillium"/>
          <w:sz w:val="20"/>
        </w:rPr>
        <w:t xml:space="preserve"> di cui </w:t>
      </w:r>
      <w:bookmarkEnd w:id="2"/>
      <w:r w:rsidR="00F72E24">
        <w:rPr>
          <w:rFonts w:ascii="Titillium" w:hAnsi="Titillium"/>
          <w:sz w:val="20"/>
        </w:rPr>
        <w:t>all’</w:t>
      </w:r>
      <w:r w:rsidR="00F72E24" w:rsidRPr="006A61AA">
        <w:rPr>
          <w:rFonts w:ascii="Titillium" w:hAnsi="Titillium"/>
          <w:sz w:val="20"/>
        </w:rPr>
        <w:t>art</w:t>
      </w:r>
      <w:r w:rsidR="00F72E24" w:rsidRPr="006A61AA">
        <w:rPr>
          <w:rFonts w:ascii="Titillium" w:hAnsi="Titillium"/>
          <w:noProof/>
          <w:sz w:val="20"/>
          <w:lang w:eastAsia="it-IT"/>
        </w:rPr>
        <w:t>. 3, comma 1</w:t>
      </w:r>
      <w:r w:rsidR="00F72E24">
        <w:rPr>
          <w:rFonts w:ascii="Titillium" w:hAnsi="Titillium"/>
          <w:noProof/>
          <w:sz w:val="20"/>
          <w:lang w:eastAsia="it-IT"/>
        </w:rPr>
        <w:t>,</w:t>
      </w:r>
      <w:r w:rsidR="00F72E24" w:rsidRPr="006A61AA">
        <w:rPr>
          <w:rFonts w:ascii="Titillium" w:hAnsi="Titillium"/>
          <w:noProof/>
          <w:sz w:val="20"/>
          <w:lang w:eastAsia="it-IT"/>
        </w:rPr>
        <w:t xml:space="preserve"> lett. </w:t>
      </w:r>
      <w:r w:rsidR="005D6C9F">
        <w:rPr>
          <w:rFonts w:ascii="Titillium" w:hAnsi="Titillium"/>
          <w:noProof/>
          <w:sz w:val="20"/>
          <w:lang w:eastAsia="it-IT"/>
        </w:rPr>
        <w:t>b</w:t>
      </w:r>
      <w:r w:rsidR="00F72E24">
        <w:rPr>
          <w:rFonts w:ascii="Titillium" w:hAnsi="Titillium"/>
          <w:noProof/>
          <w:sz w:val="20"/>
          <w:lang w:eastAsia="it-IT"/>
        </w:rPr>
        <w:t>)</w:t>
      </w:r>
      <w:r w:rsidR="005D6C9F">
        <w:rPr>
          <w:rFonts w:ascii="Titillium" w:hAnsi="Titillium"/>
          <w:noProof/>
          <w:sz w:val="20"/>
          <w:lang w:eastAsia="it-IT"/>
        </w:rPr>
        <w:t xml:space="preserve"> e </w:t>
      </w:r>
      <w:r w:rsidR="00F72E24" w:rsidRPr="006A61AA">
        <w:rPr>
          <w:rFonts w:ascii="Titillium" w:hAnsi="Titillium"/>
          <w:noProof/>
          <w:sz w:val="20"/>
          <w:lang w:eastAsia="it-IT"/>
        </w:rPr>
        <w:t>c)</w:t>
      </w:r>
      <w:r w:rsidR="00F72E24" w:rsidRPr="00F72E24">
        <w:rPr>
          <w:rStyle w:val="Rimandonotaapidipagina"/>
          <w:rFonts w:ascii="Titillium" w:hAnsi="Titillium"/>
          <w:sz w:val="20"/>
        </w:rPr>
        <w:t xml:space="preserve"> </w:t>
      </w:r>
      <w:r w:rsidR="00F72E24" w:rsidRPr="006A61AA">
        <w:rPr>
          <w:rStyle w:val="Rimandonotaapidipagina"/>
          <w:rFonts w:ascii="Titillium" w:hAnsi="Titillium"/>
          <w:sz w:val="20"/>
        </w:rPr>
        <w:footnoteReference w:id="2"/>
      </w:r>
      <w:r w:rsidR="00F72E24">
        <w:rPr>
          <w:rFonts w:ascii="Titillium" w:hAnsi="Titillium"/>
          <w:noProof/>
          <w:sz w:val="20"/>
          <w:lang w:eastAsia="it-IT"/>
        </w:rPr>
        <w:t>,</w:t>
      </w:r>
      <w:r w:rsidR="00F72E24" w:rsidRPr="006A61AA">
        <w:rPr>
          <w:rFonts w:ascii="Titillium" w:hAnsi="Titillium"/>
          <w:noProof/>
          <w:sz w:val="20"/>
          <w:lang w:eastAsia="it-IT"/>
        </w:rPr>
        <w:t xml:space="preserve"> del </w:t>
      </w:r>
      <w:r w:rsidR="00F72E24" w:rsidRPr="006A61AA">
        <w:rPr>
          <w:rFonts w:ascii="Titillium" w:hAnsi="Titillium"/>
          <w:sz w:val="20"/>
        </w:rPr>
        <w:t>d.lgs. n. 39/2013</w:t>
      </w:r>
      <w:r w:rsidR="00F72E24">
        <w:rPr>
          <w:rFonts w:ascii="Titillium" w:hAnsi="Titillium"/>
          <w:sz w:val="20"/>
        </w:rPr>
        <w:t xml:space="preserve"> rispetto a</w:t>
      </w:r>
      <w:r w:rsidR="00E133E5">
        <w:rPr>
          <w:rFonts w:ascii="Titillium" w:hAnsi="Titillium"/>
          <w:sz w:val="20"/>
        </w:rPr>
        <w:t>gli incarich</w:t>
      </w:r>
      <w:r w:rsidR="000C3B38">
        <w:rPr>
          <w:rFonts w:ascii="Titillium" w:hAnsi="Titillium"/>
          <w:sz w:val="20"/>
        </w:rPr>
        <w:t xml:space="preserve">i di </w:t>
      </w:r>
      <w:r w:rsidR="000C3B38" w:rsidRPr="004A6D39">
        <w:rPr>
          <w:rFonts w:ascii="Titillium" w:hAnsi="Titillium"/>
          <w:sz w:val="20"/>
        </w:rPr>
        <w:t>amministratore e</w:t>
      </w:r>
      <w:r w:rsidR="00E133E5" w:rsidRPr="004A6D39">
        <w:rPr>
          <w:rFonts w:ascii="Titillium" w:hAnsi="Titillium"/>
          <w:sz w:val="20"/>
        </w:rPr>
        <w:t xml:space="preserve"> dirigenziali</w:t>
      </w:r>
      <w:r w:rsidR="005D6C9F" w:rsidRPr="004A6D39">
        <w:rPr>
          <w:rFonts w:ascii="Titillium" w:hAnsi="Titillium"/>
          <w:sz w:val="20"/>
        </w:rPr>
        <w:t>, intern</w:t>
      </w:r>
      <w:r w:rsidR="005D6C9F">
        <w:rPr>
          <w:rFonts w:ascii="Titillium" w:hAnsi="Titillium"/>
          <w:sz w:val="20"/>
        </w:rPr>
        <w:t>i o esterni, in un ente pubblico</w:t>
      </w:r>
      <w:r w:rsidR="0015463B" w:rsidRPr="006A61AA">
        <w:rPr>
          <w:rFonts w:ascii="Titillium" w:hAnsi="Titillium"/>
          <w:sz w:val="20"/>
        </w:rPr>
        <w:t xml:space="preserve">; </w:t>
      </w:r>
    </w:p>
    <w:p w14:paraId="6B8F4B87" w14:textId="337853F1" w:rsidR="00AA4BAD" w:rsidRDefault="00AA4BAD" w:rsidP="00AA4BAD">
      <w:pPr>
        <w:pStyle w:val="Paragrafoelenco"/>
        <w:tabs>
          <w:tab w:val="left" w:pos="993"/>
        </w:tabs>
        <w:ind w:left="709"/>
        <w:contextualSpacing w:val="0"/>
        <w:jc w:val="both"/>
        <w:rPr>
          <w:rFonts w:ascii="Titillium" w:hAnsi="Titillium"/>
          <w:b/>
          <w:bCs/>
          <w:sz w:val="20"/>
        </w:rPr>
      </w:pPr>
      <w:r>
        <w:rPr>
          <w:rFonts w:ascii="Titillium" w:hAnsi="Titillium"/>
          <w:b/>
          <w:bCs/>
          <w:sz w:val="20"/>
        </w:rPr>
        <w:t>(</w:t>
      </w:r>
      <w:proofErr w:type="spellStart"/>
      <w:r w:rsidRPr="00D15D33">
        <w:rPr>
          <w:rFonts w:ascii="Titillium" w:hAnsi="Titillium"/>
          <w:b/>
          <w:bCs/>
          <w:sz w:val="20"/>
        </w:rPr>
        <w:t>Inconferibilità</w:t>
      </w:r>
      <w:proofErr w:type="spellEnd"/>
      <w:r w:rsidRPr="00D15D33">
        <w:rPr>
          <w:rFonts w:ascii="Titillium" w:hAnsi="Titillium"/>
          <w:b/>
          <w:bCs/>
          <w:sz w:val="20"/>
        </w:rPr>
        <w:t xml:space="preserve"> in caso </w:t>
      </w:r>
      <w:r>
        <w:rPr>
          <w:rFonts w:ascii="Titillium" w:hAnsi="Titillium"/>
          <w:b/>
          <w:bCs/>
          <w:sz w:val="20"/>
        </w:rPr>
        <w:t xml:space="preserve">di provenienza da enti di diritto privato regolati o finanziati </w:t>
      </w:r>
      <w:r w:rsidR="000D2D24">
        <w:rPr>
          <w:rFonts w:ascii="Titillium" w:hAnsi="Titillium"/>
          <w:b/>
          <w:bCs/>
          <w:sz w:val="20"/>
        </w:rPr>
        <w:t>e/</w:t>
      </w:r>
      <w:r>
        <w:rPr>
          <w:rFonts w:ascii="Titillium" w:hAnsi="Titillium"/>
          <w:b/>
          <w:bCs/>
          <w:sz w:val="20"/>
        </w:rPr>
        <w:t>o in caso di pregresso svolgimento di attività professionale)</w:t>
      </w:r>
      <w:r w:rsidR="00963412">
        <w:rPr>
          <w:rStyle w:val="Rimandonotaapidipagina"/>
          <w:rFonts w:ascii="Titillium" w:hAnsi="Titillium"/>
          <w:b/>
          <w:bCs/>
          <w:sz w:val="20"/>
        </w:rPr>
        <w:footnoteReference w:id="3"/>
      </w:r>
    </w:p>
    <w:bookmarkStart w:id="3" w:name="_Hlk178685201"/>
    <w:p w14:paraId="73742748" w14:textId="31F7D40F" w:rsidR="00420CDB" w:rsidRPr="005035CE" w:rsidRDefault="0008268A" w:rsidP="00C85013">
      <w:pPr>
        <w:pStyle w:val="Paragrafoelenco"/>
        <w:tabs>
          <w:tab w:val="left" w:pos="851"/>
        </w:tabs>
        <w:ind w:left="567" w:hanging="283"/>
        <w:contextualSpacing w:val="0"/>
        <w:jc w:val="both"/>
        <w:rPr>
          <w:rFonts w:ascii="Titillium" w:hAnsi="Titillium"/>
          <w:color w:val="FF0000"/>
          <w:sz w:val="20"/>
        </w:rPr>
      </w:pPr>
      <w:sdt>
        <w:sdtPr>
          <w:rPr>
            <w:rFonts w:ascii="Titillium" w:hAnsi="Titillium"/>
            <w:b/>
            <w:bCs/>
            <w:sz w:val="20"/>
          </w:rPr>
          <w:id w:val="-23784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5013" w:rsidRPr="00C85013">
            <w:rPr>
              <w:rFonts w:ascii="MS Gothic" w:eastAsia="MS Gothic" w:hAnsi="MS Gothic" w:hint="eastAsia"/>
              <w:b/>
              <w:bCs/>
              <w:sz w:val="20"/>
            </w:rPr>
            <w:t>☐</w:t>
          </w:r>
        </w:sdtContent>
      </w:sdt>
      <w:r w:rsidR="00C85013">
        <w:rPr>
          <w:rFonts w:ascii="Titillium" w:hAnsi="Titillium"/>
          <w:sz w:val="20"/>
        </w:rPr>
        <w:t xml:space="preserve"> </w:t>
      </w:r>
      <w:r w:rsidR="004A6D39">
        <w:rPr>
          <w:rFonts w:ascii="Titillium" w:hAnsi="Titillium"/>
          <w:sz w:val="20"/>
        </w:rPr>
        <w:t xml:space="preserve">di </w:t>
      </w:r>
      <w:r w:rsidR="00AA4BAD">
        <w:rPr>
          <w:rFonts w:ascii="Titillium" w:hAnsi="Titillium"/>
          <w:sz w:val="20"/>
        </w:rPr>
        <w:t xml:space="preserve">non trovarsi nella situazione di </w:t>
      </w:r>
      <w:proofErr w:type="spellStart"/>
      <w:r w:rsidR="00AA4BAD">
        <w:rPr>
          <w:rFonts w:ascii="Titillium" w:hAnsi="Titillium"/>
          <w:sz w:val="20"/>
        </w:rPr>
        <w:t>inconferibilità</w:t>
      </w:r>
      <w:proofErr w:type="spellEnd"/>
      <w:r w:rsidR="00AA4BAD">
        <w:rPr>
          <w:rFonts w:ascii="Titillium" w:hAnsi="Titillium"/>
          <w:sz w:val="20"/>
        </w:rPr>
        <w:t xml:space="preserve"> di cui all’</w:t>
      </w:r>
      <w:r w:rsidR="00AA4BAD" w:rsidRPr="006A61AA">
        <w:rPr>
          <w:rFonts w:ascii="Titillium" w:hAnsi="Titillium"/>
          <w:sz w:val="20"/>
        </w:rPr>
        <w:t>art</w:t>
      </w:r>
      <w:r w:rsidR="00AA4BAD" w:rsidRPr="006A61AA">
        <w:rPr>
          <w:rFonts w:ascii="Titillium" w:hAnsi="Titillium"/>
          <w:noProof/>
          <w:sz w:val="20"/>
          <w:lang w:eastAsia="it-IT"/>
        </w:rPr>
        <w:t xml:space="preserve">. </w:t>
      </w:r>
      <w:r w:rsidR="00AA4BAD">
        <w:rPr>
          <w:rFonts w:ascii="Titillium" w:hAnsi="Titillium"/>
          <w:noProof/>
          <w:sz w:val="20"/>
          <w:lang w:eastAsia="it-IT"/>
        </w:rPr>
        <w:t>4</w:t>
      </w:r>
      <w:r w:rsidR="00AA4BAD" w:rsidRPr="006A61AA">
        <w:rPr>
          <w:rFonts w:ascii="Titillium" w:hAnsi="Titillium"/>
          <w:noProof/>
          <w:sz w:val="20"/>
          <w:lang w:eastAsia="it-IT"/>
        </w:rPr>
        <w:t>, comma 1</w:t>
      </w:r>
      <w:r w:rsidR="00AA4BAD">
        <w:rPr>
          <w:rFonts w:ascii="Titillium" w:hAnsi="Titillium"/>
          <w:noProof/>
          <w:sz w:val="20"/>
          <w:lang w:eastAsia="it-IT"/>
        </w:rPr>
        <w:t>,</w:t>
      </w:r>
      <w:r w:rsidR="00AA4BAD" w:rsidRPr="006A61AA">
        <w:rPr>
          <w:rFonts w:ascii="Titillium" w:hAnsi="Titillium"/>
          <w:noProof/>
          <w:sz w:val="20"/>
          <w:lang w:eastAsia="it-IT"/>
        </w:rPr>
        <w:t xml:space="preserve"> lett. </w:t>
      </w:r>
      <w:r w:rsidR="00AA4BAD">
        <w:rPr>
          <w:rFonts w:ascii="Titillium" w:hAnsi="Titillium"/>
          <w:noProof/>
          <w:sz w:val="20"/>
          <w:lang w:eastAsia="it-IT"/>
        </w:rPr>
        <w:t>b</w:t>
      </w:r>
      <w:r w:rsidR="00AA4BAD" w:rsidRPr="006A61AA">
        <w:rPr>
          <w:rFonts w:ascii="Titillium" w:hAnsi="Titillium"/>
          <w:noProof/>
          <w:sz w:val="20"/>
          <w:lang w:eastAsia="it-IT"/>
        </w:rPr>
        <w:t>)</w:t>
      </w:r>
      <w:r w:rsidR="00AA4BAD" w:rsidRPr="00F72E24">
        <w:rPr>
          <w:rStyle w:val="Rimandonotaapidipagina"/>
          <w:rFonts w:ascii="Titillium" w:hAnsi="Titillium"/>
          <w:sz w:val="20"/>
        </w:rPr>
        <w:t xml:space="preserve"> </w:t>
      </w:r>
      <w:r w:rsidR="00AA4BAD" w:rsidRPr="006A61AA">
        <w:rPr>
          <w:rStyle w:val="Rimandonotaapidipagina"/>
          <w:rFonts w:ascii="Titillium" w:hAnsi="Titillium"/>
          <w:sz w:val="20"/>
        </w:rPr>
        <w:footnoteReference w:id="4"/>
      </w:r>
      <w:r w:rsidR="00AA4BAD">
        <w:rPr>
          <w:rFonts w:ascii="Titillium" w:hAnsi="Titillium"/>
          <w:noProof/>
          <w:sz w:val="20"/>
          <w:lang w:eastAsia="it-IT"/>
        </w:rPr>
        <w:t>,</w:t>
      </w:r>
      <w:r w:rsidR="00AA4BAD" w:rsidRPr="006A61AA">
        <w:rPr>
          <w:rFonts w:ascii="Titillium" w:hAnsi="Titillium"/>
          <w:noProof/>
          <w:sz w:val="20"/>
          <w:lang w:eastAsia="it-IT"/>
        </w:rPr>
        <w:t xml:space="preserve"> del </w:t>
      </w:r>
      <w:r w:rsidR="00AA4BAD" w:rsidRPr="006A61AA">
        <w:rPr>
          <w:rFonts w:ascii="Titillium" w:hAnsi="Titillium"/>
          <w:sz w:val="20"/>
        </w:rPr>
        <w:t>d.lgs. n. 39/2013</w:t>
      </w:r>
      <w:r w:rsidR="00AA4BAD">
        <w:rPr>
          <w:rFonts w:ascii="Titillium" w:hAnsi="Titillium"/>
          <w:sz w:val="20"/>
        </w:rPr>
        <w:t xml:space="preserve"> rispetto agli incarichi di amministratore in un ente pubblico</w:t>
      </w:r>
      <w:r w:rsidR="00AA4BAD" w:rsidRPr="006A61AA">
        <w:rPr>
          <w:rFonts w:ascii="Titillium" w:hAnsi="Titillium"/>
          <w:sz w:val="20"/>
        </w:rPr>
        <w:t>;</w:t>
      </w:r>
      <w:bookmarkEnd w:id="3"/>
      <w:r w:rsidR="00AA4BAD" w:rsidRPr="006A61AA">
        <w:rPr>
          <w:rFonts w:ascii="Titillium" w:hAnsi="Titillium"/>
          <w:sz w:val="20"/>
        </w:rPr>
        <w:t xml:space="preserve"> </w:t>
      </w:r>
    </w:p>
    <w:p w14:paraId="2C96CB3B" w14:textId="3356C8D3" w:rsidR="00963412" w:rsidRDefault="0008268A" w:rsidP="00C85013">
      <w:pPr>
        <w:pStyle w:val="Paragrafoelenco"/>
        <w:tabs>
          <w:tab w:val="left" w:pos="851"/>
        </w:tabs>
        <w:ind w:left="567" w:hanging="283"/>
        <w:contextualSpacing w:val="0"/>
        <w:jc w:val="both"/>
        <w:rPr>
          <w:rFonts w:ascii="Titillium" w:hAnsi="Titillium"/>
          <w:sz w:val="20"/>
          <w:szCs w:val="20"/>
        </w:rPr>
      </w:pPr>
      <w:sdt>
        <w:sdtPr>
          <w:rPr>
            <w:rFonts w:ascii="Titillium" w:hAnsi="Titillium"/>
            <w:b/>
            <w:bCs/>
            <w:sz w:val="20"/>
          </w:rPr>
          <w:id w:val="387780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5013" w:rsidRPr="00C85013">
            <w:rPr>
              <w:rFonts w:ascii="MS Gothic" w:eastAsia="MS Gothic" w:hAnsi="MS Gothic" w:hint="eastAsia"/>
              <w:b/>
              <w:bCs/>
              <w:sz w:val="20"/>
            </w:rPr>
            <w:t>☐</w:t>
          </w:r>
        </w:sdtContent>
      </w:sdt>
      <w:r w:rsidR="00C85013">
        <w:rPr>
          <w:rFonts w:ascii="Titillium" w:hAnsi="Titillium"/>
          <w:sz w:val="20"/>
        </w:rPr>
        <w:t xml:space="preserve"> </w:t>
      </w:r>
      <w:r w:rsidR="00420CDB">
        <w:rPr>
          <w:rFonts w:ascii="Titillium" w:hAnsi="Titillium"/>
          <w:sz w:val="20"/>
        </w:rPr>
        <w:t xml:space="preserve">di non trovarsi nella situazione di </w:t>
      </w:r>
      <w:proofErr w:type="spellStart"/>
      <w:r w:rsidR="00420CDB">
        <w:rPr>
          <w:rFonts w:ascii="Titillium" w:hAnsi="Titillium"/>
          <w:sz w:val="20"/>
        </w:rPr>
        <w:t>inconferibilità</w:t>
      </w:r>
      <w:proofErr w:type="spellEnd"/>
      <w:r w:rsidR="00420CDB">
        <w:rPr>
          <w:rFonts w:ascii="Titillium" w:hAnsi="Titillium"/>
          <w:sz w:val="20"/>
        </w:rPr>
        <w:t xml:space="preserve"> di cui all’</w:t>
      </w:r>
      <w:r w:rsidR="00420CDB" w:rsidRPr="006A61AA">
        <w:rPr>
          <w:rFonts w:ascii="Titillium" w:hAnsi="Titillium"/>
          <w:sz w:val="20"/>
        </w:rPr>
        <w:t>art</w:t>
      </w:r>
      <w:r w:rsidR="00420CDB" w:rsidRPr="006A61AA">
        <w:rPr>
          <w:rFonts w:ascii="Titillium" w:hAnsi="Titillium"/>
          <w:noProof/>
          <w:sz w:val="20"/>
          <w:lang w:eastAsia="it-IT"/>
        </w:rPr>
        <w:t xml:space="preserve">. </w:t>
      </w:r>
      <w:r w:rsidR="00420CDB">
        <w:rPr>
          <w:rFonts w:ascii="Titillium" w:hAnsi="Titillium"/>
          <w:noProof/>
          <w:sz w:val="20"/>
          <w:lang w:eastAsia="it-IT"/>
        </w:rPr>
        <w:t>4</w:t>
      </w:r>
      <w:r w:rsidR="00963412" w:rsidRPr="00963412">
        <w:rPr>
          <w:rFonts w:ascii="Titillium" w:hAnsi="Titillium"/>
          <w:noProof/>
          <w:sz w:val="20"/>
          <w:lang w:eastAsia="it-IT"/>
        </w:rPr>
        <w:t xml:space="preserve"> </w:t>
      </w:r>
      <w:r w:rsidR="00963412" w:rsidRPr="006A61AA">
        <w:rPr>
          <w:rFonts w:ascii="Titillium" w:hAnsi="Titillium"/>
          <w:noProof/>
          <w:sz w:val="20"/>
          <w:lang w:eastAsia="it-IT"/>
        </w:rPr>
        <w:t>comma 1</w:t>
      </w:r>
      <w:r w:rsidR="00963412">
        <w:rPr>
          <w:rFonts w:ascii="Titillium" w:hAnsi="Titillium"/>
          <w:noProof/>
          <w:sz w:val="20"/>
          <w:lang w:eastAsia="it-IT"/>
        </w:rPr>
        <w:t>,</w:t>
      </w:r>
      <w:r w:rsidR="00963412" w:rsidRPr="006A61AA">
        <w:rPr>
          <w:rFonts w:ascii="Titillium" w:hAnsi="Titillium"/>
          <w:noProof/>
          <w:sz w:val="20"/>
          <w:lang w:eastAsia="it-IT"/>
        </w:rPr>
        <w:t xml:space="preserve"> lett. c)</w:t>
      </w:r>
      <w:r w:rsidR="00963412" w:rsidRPr="00F72E24">
        <w:rPr>
          <w:rStyle w:val="Rimandonotaapidipagina"/>
          <w:rFonts w:ascii="Titillium" w:hAnsi="Titillium"/>
          <w:sz w:val="20"/>
        </w:rPr>
        <w:t xml:space="preserve"> </w:t>
      </w:r>
      <w:r w:rsidR="00963412" w:rsidRPr="006A61AA">
        <w:rPr>
          <w:rFonts w:ascii="Titillium" w:hAnsi="Titillium"/>
          <w:noProof/>
          <w:sz w:val="20"/>
          <w:lang w:eastAsia="it-IT"/>
        </w:rPr>
        <w:t xml:space="preserve">del </w:t>
      </w:r>
      <w:r w:rsidR="00963412" w:rsidRPr="006A61AA">
        <w:rPr>
          <w:rFonts w:ascii="Titillium" w:hAnsi="Titillium"/>
          <w:sz w:val="20"/>
        </w:rPr>
        <w:t>d.lgs. n. 39/2013</w:t>
      </w:r>
      <w:r w:rsidR="00963412">
        <w:rPr>
          <w:rFonts w:ascii="Titillium" w:hAnsi="Titillium"/>
          <w:sz w:val="20"/>
        </w:rPr>
        <w:t xml:space="preserve"> rispetto agli incarichi dirigenziali esterni in un ente pubblico</w:t>
      </w:r>
      <w:r w:rsidR="00963412" w:rsidRPr="006A61AA">
        <w:rPr>
          <w:rFonts w:ascii="Titillium" w:hAnsi="Titillium"/>
          <w:sz w:val="20"/>
        </w:rPr>
        <w:t>;</w:t>
      </w:r>
      <w:r w:rsidR="00963412">
        <w:rPr>
          <w:rStyle w:val="Rimandonotaapidipagina"/>
          <w:rFonts w:ascii="Titillium" w:hAnsi="Titillium"/>
          <w:noProof/>
          <w:sz w:val="20"/>
          <w:lang w:eastAsia="it-IT"/>
        </w:rPr>
        <w:footnoteReference w:id="5"/>
      </w:r>
      <w:r w:rsidR="00963412">
        <w:rPr>
          <w:rFonts w:ascii="Titillium" w:hAnsi="Titillium"/>
          <w:sz w:val="20"/>
        </w:rPr>
        <w:t xml:space="preserve">   </w:t>
      </w:r>
    </w:p>
    <w:p w14:paraId="6161777F" w14:textId="20D9F64C" w:rsidR="00963412" w:rsidRPr="00963412" w:rsidRDefault="00963412" w:rsidP="00963412">
      <w:pPr>
        <w:tabs>
          <w:tab w:val="left" w:pos="0"/>
          <w:tab w:val="left" w:pos="142"/>
        </w:tabs>
        <w:spacing w:line="360" w:lineRule="auto"/>
        <w:jc w:val="center"/>
        <w:rPr>
          <w:rFonts w:ascii="Titillium" w:hAnsi="Titillium" w:cs="Titillium Web"/>
          <w:b/>
          <w:sz w:val="20"/>
          <w:szCs w:val="20"/>
        </w:rPr>
      </w:pPr>
      <w:r w:rsidRPr="007D46A3">
        <w:rPr>
          <w:rFonts w:ascii="Titillium" w:hAnsi="Titillium" w:cs="Titillium Web"/>
          <w:b/>
          <w:sz w:val="20"/>
          <w:szCs w:val="20"/>
        </w:rPr>
        <w:t>DICHIARA ALTRES</w:t>
      </w:r>
      <w:r w:rsidR="00C85013">
        <w:rPr>
          <w:rFonts w:ascii="Titillium" w:hAnsi="Titillium" w:cs="Titillium Web"/>
          <w:b/>
          <w:sz w:val="20"/>
          <w:szCs w:val="20"/>
        </w:rPr>
        <w:t>Ì</w:t>
      </w:r>
    </w:p>
    <w:p w14:paraId="11F87D80" w14:textId="57E37CBD" w:rsidR="00A43279" w:rsidRPr="00963412" w:rsidRDefault="00963412" w:rsidP="00963412">
      <w:pPr>
        <w:pStyle w:val="Paragrafoelenco"/>
        <w:ind w:left="0"/>
        <w:jc w:val="both"/>
        <w:rPr>
          <w:rFonts w:ascii="Titillium" w:hAnsi="Titillium"/>
          <w:sz w:val="20"/>
        </w:rPr>
      </w:pPr>
      <w:r w:rsidRPr="006E1AC5">
        <w:rPr>
          <w:rFonts w:ascii="Titillium" w:hAnsi="Titillium"/>
          <w:sz w:val="20"/>
          <w:szCs w:val="20"/>
        </w:rPr>
        <w:t>essere informato che, ai sensi di quanto disposto dall’art. 20, comma 3</w:t>
      </w:r>
      <w:r>
        <w:rPr>
          <w:rFonts w:ascii="Titillium" w:hAnsi="Titillium"/>
          <w:sz w:val="20"/>
          <w:szCs w:val="20"/>
        </w:rPr>
        <w:t>,</w:t>
      </w:r>
      <w:r w:rsidRPr="006E1AC5">
        <w:rPr>
          <w:rFonts w:ascii="Titillium" w:hAnsi="Titillium"/>
          <w:sz w:val="20"/>
          <w:szCs w:val="20"/>
        </w:rPr>
        <w:t xml:space="preserve"> del D.lgs. n. 39/2013, la presente </w:t>
      </w:r>
      <w:r w:rsidRPr="00D4542E">
        <w:rPr>
          <w:rFonts w:ascii="Titillium" w:hAnsi="Titillium"/>
          <w:color w:val="000000" w:themeColor="text1"/>
          <w:sz w:val="20"/>
          <w:szCs w:val="20"/>
        </w:rPr>
        <w:t>dichiarazione verrà pubblicata sul sito istituzionale dell’ente, nell’apposita sezione “Amministrazione Trasparent</w:t>
      </w:r>
      <w:r>
        <w:rPr>
          <w:rFonts w:ascii="Titillium" w:hAnsi="Titillium"/>
          <w:color w:val="000000" w:themeColor="text1"/>
          <w:sz w:val="20"/>
          <w:szCs w:val="20"/>
        </w:rPr>
        <w:t>e”</w:t>
      </w:r>
      <w:r>
        <w:rPr>
          <w:rFonts w:ascii="Titillium" w:hAnsi="Titillium"/>
          <w:sz w:val="20"/>
        </w:rPr>
        <w:t xml:space="preserve">  </w:t>
      </w:r>
      <w:r w:rsidR="00420CDB" w:rsidRPr="006A61AA">
        <w:rPr>
          <w:rStyle w:val="Rimandonotaapidipagina"/>
          <w:rFonts w:ascii="Titillium" w:hAnsi="Titillium"/>
          <w:sz w:val="20"/>
        </w:rPr>
        <w:footnoteReference w:id="6"/>
      </w:r>
      <w:r>
        <w:rPr>
          <w:rFonts w:ascii="Titillium" w:hAnsi="Titillium"/>
          <w:sz w:val="20"/>
        </w:rPr>
        <w:t>.</w:t>
      </w:r>
    </w:p>
    <w:p w14:paraId="5235B973" w14:textId="77777777" w:rsidR="00546F83" w:rsidRPr="00D4542E" w:rsidRDefault="00546F83" w:rsidP="00546F83">
      <w:pPr>
        <w:jc w:val="both"/>
        <w:rPr>
          <w:rFonts w:ascii="Titillium" w:hAnsi="Titillium"/>
          <w:color w:val="000000" w:themeColor="text1"/>
          <w:sz w:val="20"/>
          <w:szCs w:val="20"/>
        </w:rPr>
      </w:pPr>
      <w:bookmarkStart w:id="5" w:name="_Hlk200102237"/>
      <w:r w:rsidRPr="00D4542E">
        <w:rPr>
          <w:rFonts w:ascii="Titillium" w:hAnsi="Titillium"/>
          <w:color w:val="000000" w:themeColor="text1"/>
          <w:sz w:val="20"/>
          <w:szCs w:val="20"/>
        </w:rPr>
        <w:lastRenderedPageBreak/>
        <w:t>Il/La sottoscritto/a si impegna altresì a comunicare tempestivamente eventuali variazioni del contenuto della presente dichiarazione ed è a conoscenza che l’ente ricevente la presente dichiarazione è tenuto a effettuare i controlli e gli accertamenti previsti dalla disciplina vigente in ordine alla relativa veridicità, anche tramite acquisizione di informazioni sulle iscrizioni esistenti nel casellario giudiziale.</w:t>
      </w:r>
    </w:p>
    <w:bookmarkEnd w:id="5"/>
    <w:p w14:paraId="46978528" w14:textId="77777777" w:rsidR="009654CA" w:rsidRDefault="0015463B" w:rsidP="00C0653D">
      <w:pPr>
        <w:spacing w:line="360" w:lineRule="auto"/>
        <w:jc w:val="both"/>
        <w:rPr>
          <w:rFonts w:ascii="Titillium" w:hAnsi="Titillium" w:cs="Titillium Web"/>
          <w:sz w:val="20"/>
          <w:szCs w:val="20"/>
        </w:rPr>
      </w:pPr>
      <w:r w:rsidRPr="006E1AC5">
        <w:rPr>
          <w:rFonts w:ascii="Titillium" w:hAnsi="Titillium" w:cs="Titillium Web"/>
          <w:sz w:val="20"/>
          <w:szCs w:val="20"/>
        </w:rPr>
        <w:t>Luogo, data</w:t>
      </w:r>
      <w:r w:rsidR="00A27663">
        <w:rPr>
          <w:rFonts w:ascii="Titillium" w:hAnsi="Titillium" w:cs="Titillium Web"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14:paraId="43906326" w14:textId="77777777" w:rsidR="009654CA" w:rsidRDefault="009654CA" w:rsidP="00C0653D">
      <w:pPr>
        <w:spacing w:line="360" w:lineRule="auto"/>
        <w:jc w:val="both"/>
        <w:rPr>
          <w:rFonts w:ascii="Titillium" w:hAnsi="Titillium" w:cs="Titillium Web"/>
          <w:sz w:val="20"/>
          <w:szCs w:val="20"/>
        </w:rPr>
      </w:pPr>
    </w:p>
    <w:p w14:paraId="55CBBE80" w14:textId="3DDC32A9" w:rsidR="00C0653D" w:rsidRPr="006E1AC5" w:rsidRDefault="00A27663" w:rsidP="009654CA">
      <w:pPr>
        <w:spacing w:line="360" w:lineRule="auto"/>
        <w:ind w:firstLine="7655"/>
        <w:jc w:val="both"/>
        <w:rPr>
          <w:rFonts w:ascii="Titillium" w:hAnsi="Titillium" w:cs="Titillium Web"/>
          <w:sz w:val="20"/>
          <w:szCs w:val="20"/>
        </w:rPr>
      </w:pPr>
      <w:r>
        <w:rPr>
          <w:rFonts w:ascii="Titillium" w:hAnsi="Titillium" w:cs="Titillium Web"/>
          <w:sz w:val="20"/>
          <w:szCs w:val="20"/>
        </w:rPr>
        <w:t xml:space="preserve">  Firma</w:t>
      </w:r>
    </w:p>
    <w:p w14:paraId="68DE2EDF" w14:textId="77777777" w:rsidR="00A27663" w:rsidRDefault="00A27663" w:rsidP="00D73AF7">
      <w:pPr>
        <w:spacing w:line="360" w:lineRule="auto"/>
        <w:jc w:val="both"/>
        <w:rPr>
          <w:rFonts w:ascii="Titillium" w:hAnsi="Titillium" w:cs="Titillium Web"/>
          <w:sz w:val="20"/>
          <w:szCs w:val="20"/>
        </w:rPr>
      </w:pPr>
    </w:p>
    <w:p w14:paraId="61BD4DA2" w14:textId="77777777" w:rsidR="009654CA" w:rsidRDefault="009654CA" w:rsidP="00D73AF7">
      <w:pPr>
        <w:spacing w:line="360" w:lineRule="auto"/>
        <w:jc w:val="both"/>
        <w:rPr>
          <w:rFonts w:ascii="Titillium" w:hAnsi="Titillium" w:cs="Titillium Web"/>
          <w:sz w:val="20"/>
          <w:szCs w:val="20"/>
        </w:rPr>
      </w:pPr>
    </w:p>
    <w:p w14:paraId="1B83F1FB" w14:textId="77777777" w:rsidR="00324933" w:rsidRPr="00691E8A" w:rsidRDefault="00324933" w:rsidP="00324933">
      <w:pPr>
        <w:spacing w:line="360" w:lineRule="auto"/>
        <w:jc w:val="both"/>
        <w:rPr>
          <w:rFonts w:ascii="Titillium" w:hAnsi="Titillium" w:cs="Titillium Web"/>
          <w:sz w:val="20"/>
          <w:szCs w:val="20"/>
        </w:rPr>
      </w:pPr>
      <w:r w:rsidRPr="00C30093">
        <w:rPr>
          <w:rFonts w:ascii="Titillium" w:hAnsi="Titillium" w:cs="Titillium Web"/>
          <w:sz w:val="20"/>
          <w:szCs w:val="20"/>
        </w:rPr>
        <w:t xml:space="preserve">La versione originale del documento è depositata presso </w:t>
      </w:r>
      <w:r>
        <w:rPr>
          <w:rFonts w:ascii="Titillium" w:hAnsi="Titillium" w:cs="Titillium Web"/>
          <w:sz w:val="20"/>
          <w:szCs w:val="20"/>
        </w:rPr>
        <w:t>la Segreteria dell’Ordine e pubblicata sul sito dell’Ordine nella sezione Amministrazione Trasparente.</w:t>
      </w:r>
    </w:p>
    <w:p w14:paraId="0EA3D39A" w14:textId="192AD6ED" w:rsidR="00546F83" w:rsidRPr="00691E8A" w:rsidRDefault="00546F83" w:rsidP="00324933">
      <w:pPr>
        <w:spacing w:line="360" w:lineRule="auto"/>
        <w:jc w:val="both"/>
        <w:rPr>
          <w:rFonts w:ascii="Titillium" w:hAnsi="Titillium" w:cs="Titillium Web"/>
          <w:sz w:val="20"/>
          <w:szCs w:val="20"/>
        </w:rPr>
      </w:pPr>
    </w:p>
    <w:sectPr w:rsidR="00546F83" w:rsidRPr="00691E8A" w:rsidSect="00BB7077">
      <w:headerReference w:type="default" r:id="rId8"/>
      <w:footerReference w:type="default" r:id="rId9"/>
      <w:pgSz w:w="11906" w:h="16838"/>
      <w:pgMar w:top="1702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6CF63" w14:textId="77777777" w:rsidR="0008268A" w:rsidRDefault="0008268A" w:rsidP="001A58E6">
      <w:pPr>
        <w:spacing w:after="0" w:line="240" w:lineRule="auto"/>
      </w:pPr>
      <w:r>
        <w:separator/>
      </w:r>
    </w:p>
  </w:endnote>
  <w:endnote w:type="continuationSeparator" w:id="0">
    <w:p w14:paraId="415D5676" w14:textId="77777777" w:rsidR="0008268A" w:rsidRDefault="0008268A" w:rsidP="001A5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 Web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B8501" w14:textId="77777777" w:rsidR="008E2D69" w:rsidRDefault="008E2D69" w:rsidP="00C0653D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243D6" w14:textId="77777777" w:rsidR="0008268A" w:rsidRDefault="0008268A" w:rsidP="001A58E6">
      <w:pPr>
        <w:spacing w:after="0" w:line="240" w:lineRule="auto"/>
      </w:pPr>
      <w:r>
        <w:separator/>
      </w:r>
    </w:p>
  </w:footnote>
  <w:footnote w:type="continuationSeparator" w:id="0">
    <w:p w14:paraId="7DD99F39" w14:textId="77777777" w:rsidR="0008268A" w:rsidRDefault="0008268A" w:rsidP="001A58E6">
      <w:pPr>
        <w:spacing w:after="0" w:line="240" w:lineRule="auto"/>
      </w:pPr>
      <w:r>
        <w:continuationSeparator/>
      </w:r>
    </w:p>
  </w:footnote>
  <w:footnote w:id="1">
    <w:p w14:paraId="5C6D446D" w14:textId="77777777" w:rsidR="004A6D39" w:rsidRPr="007B50E1" w:rsidRDefault="004A6D39" w:rsidP="004A6D39">
      <w:pPr>
        <w:pStyle w:val="Testonotaapidipagina"/>
        <w:ind w:left="644"/>
        <w:jc w:val="both"/>
        <w:rPr>
          <w:i/>
          <w:sz w:val="16"/>
        </w:rPr>
      </w:pPr>
    </w:p>
  </w:footnote>
  <w:footnote w:id="2">
    <w:p w14:paraId="38A2D62D" w14:textId="0FEDB55E" w:rsidR="00F72E24" w:rsidRDefault="00F72E24" w:rsidP="00F72E24">
      <w:pPr>
        <w:pStyle w:val="Testonotaapidipagina"/>
        <w:ind w:left="284"/>
        <w:jc w:val="both"/>
        <w:rPr>
          <w:i/>
          <w:sz w:val="16"/>
        </w:rPr>
      </w:pPr>
      <w:r>
        <w:rPr>
          <w:rStyle w:val="Rimandonotaapidipagina"/>
        </w:rPr>
        <w:footnoteRef/>
      </w:r>
      <w:r>
        <w:t xml:space="preserve"> </w:t>
      </w:r>
      <w:r w:rsidRPr="000C4C80">
        <w:rPr>
          <w:b/>
          <w:sz w:val="16"/>
        </w:rPr>
        <w:t>Art. 3</w:t>
      </w:r>
      <w:r>
        <w:rPr>
          <w:b/>
          <w:sz w:val="16"/>
        </w:rPr>
        <w:t xml:space="preserve">, comma 2, lett. </w:t>
      </w:r>
      <w:r w:rsidR="000C3B38">
        <w:rPr>
          <w:b/>
          <w:sz w:val="16"/>
        </w:rPr>
        <w:t>b</w:t>
      </w:r>
      <w:r>
        <w:rPr>
          <w:b/>
          <w:sz w:val="16"/>
        </w:rPr>
        <w:t>)</w:t>
      </w:r>
      <w:r w:rsidR="000C3B38">
        <w:rPr>
          <w:b/>
          <w:sz w:val="16"/>
        </w:rPr>
        <w:t xml:space="preserve"> e</w:t>
      </w:r>
      <w:r>
        <w:rPr>
          <w:b/>
          <w:sz w:val="16"/>
        </w:rPr>
        <w:t xml:space="preserve"> c)</w:t>
      </w:r>
      <w:r w:rsidR="000C3B38">
        <w:rPr>
          <w:b/>
          <w:sz w:val="16"/>
        </w:rPr>
        <w:t xml:space="preserve">: </w:t>
      </w:r>
      <w:r>
        <w:rPr>
          <w:sz w:val="16"/>
        </w:rPr>
        <w:t>“</w:t>
      </w:r>
      <w:r w:rsidRPr="00B87398">
        <w:rPr>
          <w:i/>
          <w:sz w:val="16"/>
        </w:rPr>
        <w:t xml:space="preserve">A coloro che siano stati condannati, anche con sentenza non passata in giudicato, per uno dei reati previsti dal capo I del titolo II del libro secondo del codice penale, non possono essere attribuiti: </w:t>
      </w:r>
      <w:r w:rsidR="000C3B38" w:rsidRPr="000C3B38">
        <w:rPr>
          <w:i/>
          <w:sz w:val="16"/>
        </w:rPr>
        <w:t xml:space="preserve">b) </w:t>
      </w:r>
      <w:r w:rsidR="000C3B38" w:rsidRPr="000C3B38">
        <w:rPr>
          <w:b/>
          <w:bCs/>
          <w:i/>
          <w:sz w:val="16"/>
        </w:rPr>
        <w:t>gli incarichi di amministratore di ente pubblico, di livello nazionale, regionale e locale</w:t>
      </w:r>
      <w:r w:rsidR="000C3B38" w:rsidRPr="000C3B38">
        <w:rPr>
          <w:i/>
          <w:sz w:val="16"/>
        </w:rPr>
        <w:t>;</w:t>
      </w:r>
      <w:r w:rsidR="000C3B38">
        <w:rPr>
          <w:i/>
          <w:sz w:val="16"/>
        </w:rPr>
        <w:t xml:space="preserve"> </w:t>
      </w:r>
      <w:r w:rsidR="000C3B38" w:rsidRPr="000C3B38">
        <w:rPr>
          <w:i/>
          <w:sz w:val="16"/>
        </w:rPr>
        <w:t xml:space="preserve">c) </w:t>
      </w:r>
      <w:r w:rsidR="000C3B38" w:rsidRPr="000C3B38">
        <w:rPr>
          <w:b/>
          <w:bCs/>
          <w:i/>
          <w:sz w:val="16"/>
        </w:rPr>
        <w:t>gli incarichi dirigenziali, interni e esterni, comunque denominati</w:t>
      </w:r>
      <w:r w:rsidR="005D5B2C">
        <w:rPr>
          <w:i/>
          <w:sz w:val="16"/>
        </w:rPr>
        <w:t xml:space="preserve"> […] </w:t>
      </w:r>
      <w:r w:rsidR="000C3B38" w:rsidRPr="000C3B38">
        <w:rPr>
          <w:b/>
          <w:bCs/>
          <w:i/>
          <w:sz w:val="16"/>
        </w:rPr>
        <w:t>negli enti pubblici</w:t>
      </w:r>
      <w:r w:rsidR="000C3B38" w:rsidRPr="000C3B38">
        <w:rPr>
          <w:i/>
          <w:sz w:val="16"/>
        </w:rPr>
        <w:t xml:space="preserve"> e negli enti di diritto privato in controllo pubblico di livello nazionale, regionale e locale</w:t>
      </w:r>
      <w:r w:rsidR="000C3B38">
        <w:rPr>
          <w:i/>
          <w:sz w:val="16"/>
        </w:rPr>
        <w:t>”</w:t>
      </w:r>
      <w:r w:rsidR="00B86846">
        <w:rPr>
          <w:i/>
          <w:sz w:val="16"/>
        </w:rPr>
        <w:t>.</w:t>
      </w:r>
    </w:p>
    <w:p w14:paraId="6449F4E2" w14:textId="677F86DF" w:rsidR="00B86846" w:rsidRPr="00A27663" w:rsidRDefault="00B86846" w:rsidP="00B86846">
      <w:pPr>
        <w:pStyle w:val="Testonotaapidipagina"/>
        <w:ind w:left="284"/>
        <w:jc w:val="both"/>
        <w:rPr>
          <w:iCs/>
          <w:sz w:val="16"/>
        </w:rPr>
      </w:pPr>
      <w:r w:rsidRPr="00A27663">
        <w:rPr>
          <w:iCs/>
          <w:sz w:val="16"/>
        </w:rPr>
        <w:t>In merito, si evidenzia che a seguito dell’entrata in vigore del d.lgs. 150/2022 (Riforma Cartabia), l’articolo 3, co.7, del d.lgs. n. 39/2013, deve essere letto nel senso che la sentenza di patteggiamento per uno dei reati previsti dal menzionato articolo 3 non comporta l’inconferibilità degli incarichi, a meno che non siano state irrogate pene accessorie</w:t>
      </w:r>
      <w:r w:rsidR="00A27663" w:rsidRPr="00A27663">
        <w:rPr>
          <w:iCs/>
          <w:sz w:val="16"/>
        </w:rPr>
        <w:t>.</w:t>
      </w:r>
    </w:p>
    <w:p w14:paraId="59FF53A3" w14:textId="77777777" w:rsidR="00F72E24" w:rsidRPr="007B50E1" w:rsidRDefault="00F72E24" w:rsidP="00F72E24">
      <w:pPr>
        <w:pStyle w:val="Testonotaapidipagina"/>
        <w:ind w:left="644"/>
        <w:jc w:val="both"/>
        <w:rPr>
          <w:i/>
          <w:sz w:val="16"/>
        </w:rPr>
      </w:pPr>
    </w:p>
  </w:footnote>
  <w:footnote w:id="3">
    <w:p w14:paraId="5B509036" w14:textId="038B8162" w:rsidR="00963412" w:rsidRPr="00963412" w:rsidRDefault="00963412" w:rsidP="00963412">
      <w:pPr>
        <w:pStyle w:val="Testonotaapidipagina"/>
        <w:ind w:left="284"/>
        <w:jc w:val="both"/>
        <w:rPr>
          <w:sz w:val="16"/>
        </w:rPr>
      </w:pPr>
      <w:r w:rsidRPr="00545E74">
        <w:rPr>
          <w:rStyle w:val="Rimandonotaapidipagina"/>
        </w:rPr>
        <w:footnoteRef/>
      </w:r>
      <w:r w:rsidRPr="00545E74">
        <w:t xml:space="preserve">  </w:t>
      </w:r>
      <w:r w:rsidRPr="00545E74">
        <w:rPr>
          <w:bCs/>
          <w:sz w:val="16"/>
        </w:rPr>
        <w:t>Sul punto, bisogna tenere conto dell’art. 4, co 1-bis, del d.lgs. n. 39/2013, il quale sancisce l’inapplicabilità della fattispecie di inconferibilità</w:t>
      </w:r>
      <w:r w:rsidRPr="00545E74">
        <w:t xml:space="preserve"> “</w:t>
      </w:r>
      <w:r w:rsidRPr="00545E74">
        <w:rPr>
          <w:b/>
          <w:bCs/>
          <w:i/>
          <w:iCs/>
          <w:sz w:val="16"/>
        </w:rPr>
        <w:t>nelle ipotesi in cui l'incarico, la carica o l'attività professionale abbia carattere occasionale o non esecutivo o di controllo”;</w:t>
      </w:r>
    </w:p>
    <w:p w14:paraId="1A435FB0" w14:textId="3CB9461A" w:rsidR="00963412" w:rsidRDefault="00963412">
      <w:pPr>
        <w:pStyle w:val="Testonotaapidipagina"/>
      </w:pPr>
    </w:p>
  </w:footnote>
  <w:footnote w:id="4">
    <w:p w14:paraId="059343BD" w14:textId="2A2FDF16" w:rsidR="00AA4BAD" w:rsidRDefault="00AA4BAD" w:rsidP="005035CE">
      <w:pPr>
        <w:pStyle w:val="Testonotaapidipagina"/>
        <w:ind w:left="284"/>
        <w:jc w:val="both"/>
        <w:rPr>
          <w:i/>
          <w:iCs/>
          <w:sz w:val="16"/>
        </w:rPr>
      </w:pPr>
      <w:r>
        <w:rPr>
          <w:rStyle w:val="Rimandonotaapidipagina"/>
        </w:rPr>
        <w:footnoteRef/>
      </w:r>
      <w:r>
        <w:t xml:space="preserve"> </w:t>
      </w:r>
      <w:r w:rsidRPr="000C4C80">
        <w:rPr>
          <w:b/>
          <w:sz w:val="16"/>
        </w:rPr>
        <w:t xml:space="preserve">Art. </w:t>
      </w:r>
      <w:r w:rsidR="005D5B2C">
        <w:rPr>
          <w:b/>
          <w:sz w:val="16"/>
        </w:rPr>
        <w:t>4</w:t>
      </w:r>
      <w:r>
        <w:rPr>
          <w:b/>
          <w:sz w:val="16"/>
        </w:rPr>
        <w:t xml:space="preserve">, comma </w:t>
      </w:r>
      <w:r w:rsidR="005D5B2C">
        <w:rPr>
          <w:b/>
          <w:sz w:val="16"/>
        </w:rPr>
        <w:t>1</w:t>
      </w:r>
      <w:r>
        <w:rPr>
          <w:b/>
          <w:sz w:val="16"/>
        </w:rPr>
        <w:t xml:space="preserve">, lett. b): </w:t>
      </w:r>
      <w:r>
        <w:rPr>
          <w:sz w:val="16"/>
        </w:rPr>
        <w:t>“</w:t>
      </w:r>
      <w:r w:rsidR="005D5B2C" w:rsidRPr="005D5B2C">
        <w:rPr>
          <w:i/>
          <w:iCs/>
          <w:sz w:val="16"/>
        </w:rPr>
        <w:t>A coloro che, nell'anno precedente, abbiano svolto incarichi e ricoperto cariche in enti di diritto privato o finanziati dall'amministrazione o dall'ente pubblico che conferisce l'incarico ovvero abbiano svolto in proprio attività professionali, se queste sono regolate, finanziate o comunque retribuite dall'amministrazione o ente che conferisce l'incarico, non possono essere conferiti:</w:t>
      </w:r>
      <w:r w:rsidR="005D5B2C" w:rsidRPr="005D5B2C">
        <w:rPr>
          <w:i/>
          <w:iCs/>
          <w:sz w:val="16"/>
        </w:rPr>
        <w:br/>
        <w:t xml:space="preserve">b) gli incarichi di </w:t>
      </w:r>
      <w:r w:rsidR="005D5B2C" w:rsidRPr="005D5B2C">
        <w:rPr>
          <w:b/>
          <w:bCs/>
          <w:i/>
          <w:iCs/>
          <w:sz w:val="16"/>
        </w:rPr>
        <w:t>amministratore di ente pubblico</w:t>
      </w:r>
      <w:r w:rsidR="005D5B2C" w:rsidRPr="005D5B2C">
        <w:rPr>
          <w:i/>
          <w:iCs/>
          <w:sz w:val="16"/>
        </w:rPr>
        <w:t>, di livello nazionale, regionale e locale</w:t>
      </w:r>
      <w:r w:rsidR="00420CDB">
        <w:rPr>
          <w:i/>
          <w:iCs/>
          <w:sz w:val="16"/>
        </w:rPr>
        <w:t>”</w:t>
      </w:r>
    </w:p>
    <w:p w14:paraId="0DD5DA86" w14:textId="77777777" w:rsidR="00C85013" w:rsidRPr="005035CE" w:rsidRDefault="00C85013" w:rsidP="005035CE">
      <w:pPr>
        <w:pStyle w:val="Testonotaapidipagina"/>
        <w:ind w:left="284"/>
        <w:jc w:val="both"/>
        <w:rPr>
          <w:sz w:val="16"/>
        </w:rPr>
      </w:pPr>
    </w:p>
  </w:footnote>
  <w:footnote w:id="5">
    <w:p w14:paraId="6E0B6805" w14:textId="2D231368" w:rsidR="00963412" w:rsidRDefault="00963412" w:rsidP="00322D30">
      <w:pPr>
        <w:pStyle w:val="Testonotaapidipagina"/>
        <w:tabs>
          <w:tab w:val="clear" w:pos="567"/>
        </w:tabs>
        <w:ind w:left="284"/>
        <w:jc w:val="both"/>
        <w:rPr>
          <w:i/>
          <w:iCs/>
          <w:sz w:val="16"/>
        </w:rPr>
      </w:pPr>
      <w:r>
        <w:rPr>
          <w:rStyle w:val="Rimandonotaapidipagina"/>
        </w:rPr>
        <w:footnoteRef/>
      </w:r>
      <w:r>
        <w:t xml:space="preserve"> </w:t>
      </w:r>
      <w:r w:rsidRPr="000C4C80">
        <w:rPr>
          <w:b/>
          <w:sz w:val="16"/>
        </w:rPr>
        <w:t xml:space="preserve">Art. </w:t>
      </w:r>
      <w:r>
        <w:rPr>
          <w:b/>
          <w:sz w:val="16"/>
        </w:rPr>
        <w:t xml:space="preserve">4, comma 1, lett.  c): </w:t>
      </w:r>
      <w:r>
        <w:rPr>
          <w:sz w:val="16"/>
        </w:rPr>
        <w:t>“</w:t>
      </w:r>
      <w:r w:rsidRPr="005D5B2C">
        <w:rPr>
          <w:i/>
          <w:iCs/>
          <w:sz w:val="16"/>
        </w:rPr>
        <w:t>A coloro che, nell'anno precedente, abbiano svolto incarichi e ricoperto cariche in enti di diritto privato o finanziati dall'amministrazione o dall'ente pubblico che conferisce l'incarico ovvero abbiano svolto in proprio attività professionali, se queste sono regolate, finanziate o comunque retribuite dall'amministrazione o ente che conferisce l'incarico, non possono essere conferiti:</w:t>
      </w:r>
      <w:r>
        <w:rPr>
          <w:i/>
          <w:iCs/>
          <w:sz w:val="16"/>
        </w:rPr>
        <w:t xml:space="preserve"> […] </w:t>
      </w:r>
      <w:r w:rsidRPr="005D5B2C">
        <w:rPr>
          <w:i/>
          <w:iCs/>
          <w:sz w:val="16"/>
        </w:rPr>
        <w:t xml:space="preserve">c) </w:t>
      </w:r>
      <w:r w:rsidRPr="005D5B2C">
        <w:rPr>
          <w:b/>
          <w:bCs/>
          <w:i/>
          <w:iCs/>
          <w:sz w:val="16"/>
        </w:rPr>
        <w:t>gli incarichi dirigenziali esterni, comunque denominati,</w:t>
      </w:r>
      <w:r w:rsidRPr="005D5B2C">
        <w:rPr>
          <w:i/>
          <w:iCs/>
          <w:sz w:val="16"/>
        </w:rPr>
        <w:t xml:space="preserve"> </w:t>
      </w:r>
      <w:r>
        <w:rPr>
          <w:i/>
          <w:iCs/>
          <w:sz w:val="16"/>
        </w:rPr>
        <w:t>[…]</w:t>
      </w:r>
      <w:r w:rsidRPr="005D5B2C">
        <w:rPr>
          <w:i/>
          <w:iCs/>
          <w:sz w:val="16"/>
        </w:rPr>
        <w:t xml:space="preserve"> </w:t>
      </w:r>
      <w:r w:rsidRPr="005D5B2C">
        <w:rPr>
          <w:b/>
          <w:bCs/>
          <w:i/>
          <w:iCs/>
          <w:sz w:val="16"/>
        </w:rPr>
        <w:t>negli enti pubblici</w:t>
      </w:r>
      <w:r w:rsidRPr="005D5B2C">
        <w:rPr>
          <w:i/>
          <w:iCs/>
          <w:sz w:val="16"/>
        </w:rPr>
        <w:t xml:space="preserve"> che siano relativi allo specifico settore o ufficio dell'amministrazione che esercita i poteri di regolazione e finanziamento</w:t>
      </w:r>
      <w:r>
        <w:rPr>
          <w:i/>
          <w:iCs/>
          <w:sz w:val="16"/>
        </w:rPr>
        <w:t>”;</w:t>
      </w:r>
    </w:p>
    <w:p w14:paraId="2F8F62EB" w14:textId="77777777" w:rsidR="00963412" w:rsidRDefault="00963412" w:rsidP="00963412">
      <w:pPr>
        <w:pStyle w:val="Testonotaapidipagina"/>
        <w:tabs>
          <w:tab w:val="clear" w:pos="567"/>
        </w:tabs>
        <w:ind w:left="284"/>
      </w:pPr>
    </w:p>
  </w:footnote>
  <w:footnote w:id="6">
    <w:p w14:paraId="777058DF" w14:textId="098E0817" w:rsidR="00420CDB" w:rsidRPr="005035CE" w:rsidRDefault="00420CDB" w:rsidP="005035CE">
      <w:pPr>
        <w:pStyle w:val="Testonotaapidipagina"/>
        <w:ind w:left="284"/>
        <w:jc w:val="both"/>
        <w:rPr>
          <w:sz w:val="16"/>
        </w:rPr>
      </w:pPr>
      <w:r w:rsidRPr="00545E74">
        <w:rPr>
          <w:rStyle w:val="Rimandonotaapidipagina"/>
        </w:rPr>
        <w:footnoteRef/>
      </w:r>
      <w:bookmarkStart w:id="4" w:name="_Hlk210813766"/>
      <w:r w:rsidR="00545E74" w:rsidRPr="00545E74">
        <w:rPr>
          <w:bCs/>
          <w:sz w:val="16"/>
        </w:rPr>
        <w:t>A</w:t>
      </w:r>
      <w:r w:rsidR="00963412" w:rsidRPr="00545E74">
        <w:rPr>
          <w:bCs/>
          <w:sz w:val="16"/>
        </w:rPr>
        <w:t xml:space="preserve">i sensi </w:t>
      </w:r>
      <w:r w:rsidR="00963412" w:rsidRPr="00545E74">
        <w:rPr>
          <w:b/>
          <w:sz w:val="16"/>
        </w:rPr>
        <w:t>dell’art. 14, co, 2, del d.lgs. n. 33/2013</w:t>
      </w:r>
      <w:r w:rsidR="00963412" w:rsidRPr="00545E74">
        <w:rPr>
          <w:sz w:val="16"/>
        </w:rPr>
        <w:t>, le pubbliche amministrazioni pubblicano i dati per i tre anni successivi dalla cessazione         del mandato o dell'incarico dei soggetti</w:t>
      </w:r>
      <w:bookmarkEnd w:id="4"/>
      <w:r w:rsidR="00963412" w:rsidRPr="00545E74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65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530"/>
      <w:gridCol w:w="1197"/>
    </w:tblGrid>
    <w:tr w:rsidR="008E2D69" w14:paraId="0A65E50C" w14:textId="77777777" w:rsidTr="00D20D97">
      <w:trPr>
        <w:trHeight w:val="288"/>
      </w:trPr>
      <w:tc>
        <w:tcPr>
          <w:tcW w:w="9530" w:type="dxa"/>
        </w:tcPr>
        <w:p w14:paraId="39025B51" w14:textId="5A8D0353" w:rsidR="00792F4D" w:rsidRPr="00733F51" w:rsidRDefault="00792F4D" w:rsidP="00BB7077">
          <w:pPr>
            <w:pStyle w:val="Intestazione"/>
            <w:jc w:val="center"/>
            <w:rPr>
              <w:rFonts w:asciiTheme="majorHAnsi" w:eastAsiaTheme="majorEastAsia" w:hAnsiTheme="majorHAnsi" w:cstheme="majorBidi"/>
              <w:sz w:val="32"/>
              <w:szCs w:val="32"/>
            </w:rPr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DICHIARAZIONE SULLA INSUSSISTENZA DI CAUSE DI INCONFERIBILIT</w:t>
          </w:r>
          <w:r w:rsidR="003D2AF2">
            <w:rPr>
              <w:rFonts w:asciiTheme="majorHAnsi" w:eastAsiaTheme="majorEastAsia" w:hAnsiTheme="majorHAnsi" w:cstheme="majorBidi"/>
              <w:sz w:val="32"/>
              <w:szCs w:val="32"/>
            </w:rPr>
            <w:t>À</w:t>
          </w:r>
          <w:r>
            <w:rPr>
              <w:rFonts w:asciiTheme="majorHAnsi" w:eastAsiaTheme="majorEastAsia" w:hAnsiTheme="majorHAnsi" w:cstheme="majorBidi"/>
              <w:sz w:val="32"/>
              <w:szCs w:val="32"/>
            </w:rPr>
            <w:t xml:space="preserve"> ex art. 20 d.lgs. n. 39/2013</w:t>
          </w:r>
        </w:p>
      </w:tc>
      <w:tc>
        <w:tcPr>
          <w:tcW w:w="1197" w:type="dxa"/>
        </w:tcPr>
        <w:p w14:paraId="2A75F5DD" w14:textId="77777777" w:rsidR="008E2D69" w:rsidRDefault="008E2D69" w:rsidP="003C3090">
          <w:pPr>
            <w:pStyle w:val="Intestazione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</w:p>
      </w:tc>
    </w:tr>
  </w:tbl>
  <w:p w14:paraId="0210B4F6" w14:textId="77777777" w:rsidR="008E2D69" w:rsidRDefault="008E2D69" w:rsidP="00D20D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1733"/>
    <w:multiLevelType w:val="hybridMultilevel"/>
    <w:tmpl w:val="2D3010CE"/>
    <w:lvl w:ilvl="0" w:tplc="069A9A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33AD2"/>
    <w:multiLevelType w:val="hybridMultilevel"/>
    <w:tmpl w:val="6708FC3A"/>
    <w:lvl w:ilvl="0" w:tplc="067E89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0C1E2C"/>
    <w:multiLevelType w:val="hybridMultilevel"/>
    <w:tmpl w:val="80EA0660"/>
    <w:lvl w:ilvl="0" w:tplc="B2AAB8A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CB4F21"/>
    <w:multiLevelType w:val="hybridMultilevel"/>
    <w:tmpl w:val="BC4EB42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F1C40"/>
    <w:multiLevelType w:val="hybridMultilevel"/>
    <w:tmpl w:val="2D5C9274"/>
    <w:lvl w:ilvl="0" w:tplc="8194999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71B1C"/>
    <w:multiLevelType w:val="hybridMultilevel"/>
    <w:tmpl w:val="C186AA4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0726AE"/>
    <w:multiLevelType w:val="hybridMultilevel"/>
    <w:tmpl w:val="283856C4"/>
    <w:lvl w:ilvl="0" w:tplc="95C8C5D8">
      <w:start w:val="14"/>
      <w:numFmt w:val="bullet"/>
      <w:lvlText w:val="-"/>
      <w:lvlJc w:val="left"/>
      <w:pPr>
        <w:ind w:left="720" w:hanging="360"/>
      </w:pPr>
      <w:rPr>
        <w:rFonts w:ascii="Titillium" w:eastAsiaTheme="minorHAnsi" w:hAnsi="Titillium" w:cs="Titillium Web" w:hint="default"/>
      </w:rPr>
    </w:lvl>
    <w:lvl w:ilvl="1" w:tplc="2814EAA2">
      <w:numFmt w:val="bullet"/>
      <w:lvlText w:val=""/>
      <w:lvlJc w:val="left"/>
      <w:pPr>
        <w:ind w:left="1440" w:hanging="360"/>
      </w:pPr>
      <w:rPr>
        <w:rFonts w:ascii="Symbol" w:eastAsiaTheme="minorHAnsi" w:hAnsi="Symbol" w:cs="Titillium Web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D0412"/>
    <w:multiLevelType w:val="hybridMultilevel"/>
    <w:tmpl w:val="DA021768"/>
    <w:lvl w:ilvl="0" w:tplc="99EEEAF8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7872BB3"/>
    <w:multiLevelType w:val="hybridMultilevel"/>
    <w:tmpl w:val="C3A64A2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7352D"/>
    <w:multiLevelType w:val="hybridMultilevel"/>
    <w:tmpl w:val="873A1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26086"/>
    <w:multiLevelType w:val="hybridMultilevel"/>
    <w:tmpl w:val="954635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20EE5"/>
    <w:multiLevelType w:val="hybridMultilevel"/>
    <w:tmpl w:val="3A66E766"/>
    <w:lvl w:ilvl="0" w:tplc="8B98EC7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63D78"/>
    <w:multiLevelType w:val="hybridMultilevel"/>
    <w:tmpl w:val="206C263E"/>
    <w:lvl w:ilvl="0" w:tplc="19843C8C">
      <w:start w:val="14"/>
      <w:numFmt w:val="bullet"/>
      <w:lvlText w:val="-"/>
      <w:lvlJc w:val="left"/>
      <w:pPr>
        <w:ind w:left="1080" w:hanging="360"/>
      </w:pPr>
      <w:rPr>
        <w:rFonts w:ascii="Titillium" w:eastAsiaTheme="minorHAnsi" w:hAnsi="Titillium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730388"/>
    <w:multiLevelType w:val="hybridMultilevel"/>
    <w:tmpl w:val="605C386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368EF"/>
    <w:multiLevelType w:val="hybridMultilevel"/>
    <w:tmpl w:val="DB84CFD4"/>
    <w:lvl w:ilvl="0" w:tplc="4C7C962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871B23"/>
    <w:multiLevelType w:val="hybridMultilevel"/>
    <w:tmpl w:val="739C87F8"/>
    <w:lvl w:ilvl="0" w:tplc="F9806AD2">
      <w:numFmt w:val="bullet"/>
      <w:lvlText w:val="-"/>
      <w:lvlJc w:val="left"/>
      <w:pPr>
        <w:ind w:left="720" w:hanging="360"/>
      </w:pPr>
      <w:rPr>
        <w:rFonts w:ascii="Titillium" w:eastAsiaTheme="minorHAnsi" w:hAnsi="Titillium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E05D8"/>
    <w:multiLevelType w:val="hybridMultilevel"/>
    <w:tmpl w:val="EA962EF6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57A7361"/>
    <w:multiLevelType w:val="hybridMultilevel"/>
    <w:tmpl w:val="C80E40C0"/>
    <w:lvl w:ilvl="0" w:tplc="7430F410">
      <w:start w:val="2"/>
      <w:numFmt w:val="bullet"/>
      <w:lvlText w:val="-"/>
      <w:lvlJc w:val="left"/>
      <w:pPr>
        <w:ind w:left="720" w:hanging="360"/>
      </w:pPr>
      <w:rPr>
        <w:rFonts w:ascii="Titillium" w:eastAsiaTheme="minorHAnsi" w:hAnsi="Titillium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6B0F8B"/>
    <w:multiLevelType w:val="hybridMultilevel"/>
    <w:tmpl w:val="5C8E3D92"/>
    <w:lvl w:ilvl="0" w:tplc="0410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57E5290D"/>
    <w:multiLevelType w:val="hybridMultilevel"/>
    <w:tmpl w:val="0CAEB7F4"/>
    <w:lvl w:ilvl="0" w:tplc="8B98EC7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83528"/>
    <w:multiLevelType w:val="hybridMultilevel"/>
    <w:tmpl w:val="F838FC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711E6C"/>
    <w:multiLevelType w:val="hybridMultilevel"/>
    <w:tmpl w:val="3010296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80E38"/>
    <w:multiLevelType w:val="hybridMultilevel"/>
    <w:tmpl w:val="1CA06518"/>
    <w:lvl w:ilvl="0" w:tplc="73422A5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43A08"/>
    <w:multiLevelType w:val="hybridMultilevel"/>
    <w:tmpl w:val="544C6A5C"/>
    <w:lvl w:ilvl="0" w:tplc="A4085D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88B6C34"/>
    <w:multiLevelType w:val="hybridMultilevel"/>
    <w:tmpl w:val="815E5602"/>
    <w:lvl w:ilvl="0" w:tplc="6EE81F3C">
      <w:start w:val="2"/>
      <w:numFmt w:val="bullet"/>
      <w:lvlText w:val="-"/>
      <w:lvlJc w:val="left"/>
      <w:pPr>
        <w:ind w:left="1069" w:hanging="360"/>
      </w:pPr>
      <w:rPr>
        <w:rFonts w:ascii="Titillium" w:eastAsiaTheme="minorHAnsi" w:hAnsi="Titillium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6C5E10F9"/>
    <w:multiLevelType w:val="hybridMultilevel"/>
    <w:tmpl w:val="C024BF22"/>
    <w:lvl w:ilvl="0" w:tplc="04100017">
      <w:start w:val="1"/>
      <w:numFmt w:val="lowerLetter"/>
      <w:lvlText w:val="%1)"/>
      <w:lvlJc w:val="left"/>
      <w:pPr>
        <w:ind w:left="1520" w:hanging="360"/>
      </w:pPr>
    </w:lvl>
    <w:lvl w:ilvl="1" w:tplc="04100019">
      <w:start w:val="1"/>
      <w:numFmt w:val="lowerLetter"/>
      <w:lvlText w:val="%2."/>
      <w:lvlJc w:val="left"/>
      <w:pPr>
        <w:ind w:left="2240" w:hanging="360"/>
      </w:pPr>
    </w:lvl>
    <w:lvl w:ilvl="2" w:tplc="0410001B" w:tentative="1">
      <w:start w:val="1"/>
      <w:numFmt w:val="lowerRoman"/>
      <w:lvlText w:val="%3."/>
      <w:lvlJc w:val="right"/>
      <w:pPr>
        <w:ind w:left="2960" w:hanging="180"/>
      </w:pPr>
    </w:lvl>
    <w:lvl w:ilvl="3" w:tplc="0410000F" w:tentative="1">
      <w:start w:val="1"/>
      <w:numFmt w:val="decimal"/>
      <w:lvlText w:val="%4."/>
      <w:lvlJc w:val="left"/>
      <w:pPr>
        <w:ind w:left="3680" w:hanging="360"/>
      </w:pPr>
    </w:lvl>
    <w:lvl w:ilvl="4" w:tplc="04100019" w:tentative="1">
      <w:start w:val="1"/>
      <w:numFmt w:val="lowerLetter"/>
      <w:lvlText w:val="%5."/>
      <w:lvlJc w:val="left"/>
      <w:pPr>
        <w:ind w:left="4400" w:hanging="360"/>
      </w:pPr>
    </w:lvl>
    <w:lvl w:ilvl="5" w:tplc="0410001B" w:tentative="1">
      <w:start w:val="1"/>
      <w:numFmt w:val="lowerRoman"/>
      <w:lvlText w:val="%6."/>
      <w:lvlJc w:val="right"/>
      <w:pPr>
        <w:ind w:left="5120" w:hanging="180"/>
      </w:pPr>
    </w:lvl>
    <w:lvl w:ilvl="6" w:tplc="0410000F" w:tentative="1">
      <w:start w:val="1"/>
      <w:numFmt w:val="decimal"/>
      <w:lvlText w:val="%7."/>
      <w:lvlJc w:val="left"/>
      <w:pPr>
        <w:ind w:left="5840" w:hanging="360"/>
      </w:pPr>
    </w:lvl>
    <w:lvl w:ilvl="7" w:tplc="04100019" w:tentative="1">
      <w:start w:val="1"/>
      <w:numFmt w:val="lowerLetter"/>
      <w:lvlText w:val="%8."/>
      <w:lvlJc w:val="left"/>
      <w:pPr>
        <w:ind w:left="6560" w:hanging="360"/>
      </w:pPr>
    </w:lvl>
    <w:lvl w:ilvl="8" w:tplc="0410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26" w15:restartNumberingAfterBreak="0">
    <w:nsid w:val="6EE80CBB"/>
    <w:multiLevelType w:val="hybridMultilevel"/>
    <w:tmpl w:val="5CB4FB68"/>
    <w:lvl w:ilvl="0" w:tplc="0E88E89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59476D"/>
    <w:multiLevelType w:val="hybridMultilevel"/>
    <w:tmpl w:val="4F20E87C"/>
    <w:lvl w:ilvl="0" w:tplc="52226DA2">
      <w:start w:val="2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9C679A"/>
    <w:multiLevelType w:val="hybridMultilevel"/>
    <w:tmpl w:val="373085A6"/>
    <w:lvl w:ilvl="0" w:tplc="56569E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CC2BD7"/>
    <w:multiLevelType w:val="hybridMultilevel"/>
    <w:tmpl w:val="8FECDF56"/>
    <w:lvl w:ilvl="0" w:tplc="8A2C43D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BE71E5E"/>
    <w:multiLevelType w:val="hybridMultilevel"/>
    <w:tmpl w:val="4C608716"/>
    <w:lvl w:ilvl="0" w:tplc="23A25506">
      <w:start w:val="2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7CF80E26"/>
    <w:multiLevelType w:val="hybridMultilevel"/>
    <w:tmpl w:val="C4E4D1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8"/>
  </w:num>
  <w:num w:numId="3">
    <w:abstractNumId w:val="0"/>
  </w:num>
  <w:num w:numId="4">
    <w:abstractNumId w:val="26"/>
  </w:num>
  <w:num w:numId="5">
    <w:abstractNumId w:val="18"/>
  </w:num>
  <w:num w:numId="6">
    <w:abstractNumId w:val="13"/>
  </w:num>
  <w:num w:numId="7">
    <w:abstractNumId w:val="5"/>
  </w:num>
  <w:num w:numId="8">
    <w:abstractNumId w:val="1"/>
  </w:num>
  <w:num w:numId="9">
    <w:abstractNumId w:val="22"/>
  </w:num>
  <w:num w:numId="10">
    <w:abstractNumId w:val="16"/>
  </w:num>
  <w:num w:numId="11">
    <w:abstractNumId w:val="31"/>
  </w:num>
  <w:num w:numId="12">
    <w:abstractNumId w:val="4"/>
  </w:num>
  <w:num w:numId="13">
    <w:abstractNumId w:val="27"/>
  </w:num>
  <w:num w:numId="14">
    <w:abstractNumId w:val="14"/>
  </w:num>
  <w:num w:numId="15">
    <w:abstractNumId w:val="2"/>
  </w:num>
  <w:num w:numId="16">
    <w:abstractNumId w:val="20"/>
  </w:num>
  <w:num w:numId="17">
    <w:abstractNumId w:val="3"/>
  </w:num>
  <w:num w:numId="18">
    <w:abstractNumId w:val="21"/>
  </w:num>
  <w:num w:numId="19">
    <w:abstractNumId w:val="19"/>
  </w:num>
  <w:num w:numId="20">
    <w:abstractNumId w:val="11"/>
  </w:num>
  <w:num w:numId="21">
    <w:abstractNumId w:val="8"/>
  </w:num>
  <w:num w:numId="22">
    <w:abstractNumId w:val="12"/>
  </w:num>
  <w:num w:numId="23">
    <w:abstractNumId w:val="6"/>
  </w:num>
  <w:num w:numId="24">
    <w:abstractNumId w:val="25"/>
  </w:num>
  <w:num w:numId="25">
    <w:abstractNumId w:val="17"/>
  </w:num>
  <w:num w:numId="26">
    <w:abstractNumId w:val="23"/>
  </w:num>
  <w:num w:numId="27">
    <w:abstractNumId w:val="29"/>
  </w:num>
  <w:num w:numId="28">
    <w:abstractNumId w:val="10"/>
  </w:num>
  <w:num w:numId="29">
    <w:abstractNumId w:val="7"/>
  </w:num>
  <w:num w:numId="30">
    <w:abstractNumId w:val="30"/>
  </w:num>
  <w:num w:numId="31">
    <w:abstractNumId w:val="1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33"/>
    <w:rsid w:val="000159DE"/>
    <w:rsid w:val="00024B22"/>
    <w:rsid w:val="00043483"/>
    <w:rsid w:val="0004658A"/>
    <w:rsid w:val="00047713"/>
    <w:rsid w:val="00055F03"/>
    <w:rsid w:val="00060F2B"/>
    <w:rsid w:val="0006494A"/>
    <w:rsid w:val="000677BF"/>
    <w:rsid w:val="0007024C"/>
    <w:rsid w:val="0008268A"/>
    <w:rsid w:val="00095A1A"/>
    <w:rsid w:val="000A5B85"/>
    <w:rsid w:val="000A6AED"/>
    <w:rsid w:val="000C2022"/>
    <w:rsid w:val="000C3B38"/>
    <w:rsid w:val="000C41ED"/>
    <w:rsid w:val="000D2D24"/>
    <w:rsid w:val="000D73C8"/>
    <w:rsid w:val="000E1E88"/>
    <w:rsid w:val="000E5859"/>
    <w:rsid w:val="000E5D8E"/>
    <w:rsid w:val="00113CB0"/>
    <w:rsid w:val="00113FBC"/>
    <w:rsid w:val="0012164E"/>
    <w:rsid w:val="00123DC7"/>
    <w:rsid w:val="00140F5C"/>
    <w:rsid w:val="0015463B"/>
    <w:rsid w:val="00162B5C"/>
    <w:rsid w:val="0016404C"/>
    <w:rsid w:val="00170A70"/>
    <w:rsid w:val="00171185"/>
    <w:rsid w:val="0017124A"/>
    <w:rsid w:val="001816E3"/>
    <w:rsid w:val="00184463"/>
    <w:rsid w:val="00185821"/>
    <w:rsid w:val="001A58E6"/>
    <w:rsid w:val="001B44B5"/>
    <w:rsid w:val="001B6EED"/>
    <w:rsid w:val="001C6033"/>
    <w:rsid w:val="001D524E"/>
    <w:rsid w:val="001D65F9"/>
    <w:rsid w:val="001E5552"/>
    <w:rsid w:val="001E5ABB"/>
    <w:rsid w:val="001F1147"/>
    <w:rsid w:val="001F57F5"/>
    <w:rsid w:val="001F5CF0"/>
    <w:rsid w:val="002005EF"/>
    <w:rsid w:val="00203938"/>
    <w:rsid w:val="00205FFC"/>
    <w:rsid w:val="002064E6"/>
    <w:rsid w:val="0022655F"/>
    <w:rsid w:val="00232DFF"/>
    <w:rsid w:val="00245690"/>
    <w:rsid w:val="00250E40"/>
    <w:rsid w:val="002604E5"/>
    <w:rsid w:val="00264AF4"/>
    <w:rsid w:val="00271EAF"/>
    <w:rsid w:val="00277A5B"/>
    <w:rsid w:val="002A242F"/>
    <w:rsid w:val="002A43B7"/>
    <w:rsid w:val="002E1DDD"/>
    <w:rsid w:val="002E2087"/>
    <w:rsid w:val="00302A7D"/>
    <w:rsid w:val="00304857"/>
    <w:rsid w:val="00306431"/>
    <w:rsid w:val="00310EC2"/>
    <w:rsid w:val="00312F99"/>
    <w:rsid w:val="003156CE"/>
    <w:rsid w:val="003226EE"/>
    <w:rsid w:val="00322D30"/>
    <w:rsid w:val="00324933"/>
    <w:rsid w:val="003250DA"/>
    <w:rsid w:val="00337A8F"/>
    <w:rsid w:val="003440FD"/>
    <w:rsid w:val="003538B6"/>
    <w:rsid w:val="00364332"/>
    <w:rsid w:val="00367A94"/>
    <w:rsid w:val="00370501"/>
    <w:rsid w:val="0037164B"/>
    <w:rsid w:val="00371F4D"/>
    <w:rsid w:val="00373D77"/>
    <w:rsid w:val="00375673"/>
    <w:rsid w:val="00393019"/>
    <w:rsid w:val="0039706F"/>
    <w:rsid w:val="003A0156"/>
    <w:rsid w:val="003A3014"/>
    <w:rsid w:val="003A481A"/>
    <w:rsid w:val="003B20C0"/>
    <w:rsid w:val="003C05C1"/>
    <w:rsid w:val="003C3090"/>
    <w:rsid w:val="003C31FD"/>
    <w:rsid w:val="003D2AF2"/>
    <w:rsid w:val="003E1096"/>
    <w:rsid w:val="004026B4"/>
    <w:rsid w:val="0040424F"/>
    <w:rsid w:val="004050E0"/>
    <w:rsid w:val="00413E87"/>
    <w:rsid w:val="00420CDB"/>
    <w:rsid w:val="0042161F"/>
    <w:rsid w:val="0043650B"/>
    <w:rsid w:val="0044244F"/>
    <w:rsid w:val="00445E99"/>
    <w:rsid w:val="00451C53"/>
    <w:rsid w:val="00490DB2"/>
    <w:rsid w:val="004A6662"/>
    <w:rsid w:val="004A6D39"/>
    <w:rsid w:val="004B064F"/>
    <w:rsid w:val="004B1FE0"/>
    <w:rsid w:val="004B76F9"/>
    <w:rsid w:val="004D06E3"/>
    <w:rsid w:val="004D184F"/>
    <w:rsid w:val="004D60EA"/>
    <w:rsid w:val="004E1C6D"/>
    <w:rsid w:val="004E37F6"/>
    <w:rsid w:val="004E708C"/>
    <w:rsid w:val="0050236F"/>
    <w:rsid w:val="005035CE"/>
    <w:rsid w:val="005111DB"/>
    <w:rsid w:val="005159A8"/>
    <w:rsid w:val="0052056C"/>
    <w:rsid w:val="00521540"/>
    <w:rsid w:val="00545E74"/>
    <w:rsid w:val="00546F83"/>
    <w:rsid w:val="0054713A"/>
    <w:rsid w:val="00550447"/>
    <w:rsid w:val="005664E8"/>
    <w:rsid w:val="00595120"/>
    <w:rsid w:val="005A79DA"/>
    <w:rsid w:val="005C0D66"/>
    <w:rsid w:val="005C13CE"/>
    <w:rsid w:val="005C29E7"/>
    <w:rsid w:val="005D375C"/>
    <w:rsid w:val="005D5B2C"/>
    <w:rsid w:val="005D6C9F"/>
    <w:rsid w:val="006049D5"/>
    <w:rsid w:val="00612F2F"/>
    <w:rsid w:val="0061727F"/>
    <w:rsid w:val="00640EBD"/>
    <w:rsid w:val="00665E16"/>
    <w:rsid w:val="0067285A"/>
    <w:rsid w:val="00680F92"/>
    <w:rsid w:val="00691E8A"/>
    <w:rsid w:val="00696737"/>
    <w:rsid w:val="006A61AA"/>
    <w:rsid w:val="006B3767"/>
    <w:rsid w:val="006C0F11"/>
    <w:rsid w:val="006D217C"/>
    <w:rsid w:val="006E1AC5"/>
    <w:rsid w:val="006E69E4"/>
    <w:rsid w:val="0070024C"/>
    <w:rsid w:val="00714FCA"/>
    <w:rsid w:val="00717B29"/>
    <w:rsid w:val="00733F51"/>
    <w:rsid w:val="00737444"/>
    <w:rsid w:val="00751E1F"/>
    <w:rsid w:val="007754E9"/>
    <w:rsid w:val="0077649D"/>
    <w:rsid w:val="00781931"/>
    <w:rsid w:val="00783A52"/>
    <w:rsid w:val="00792F4D"/>
    <w:rsid w:val="007960A7"/>
    <w:rsid w:val="007B3511"/>
    <w:rsid w:val="007B50E1"/>
    <w:rsid w:val="007C15EB"/>
    <w:rsid w:val="007C4612"/>
    <w:rsid w:val="007D0045"/>
    <w:rsid w:val="007D1D13"/>
    <w:rsid w:val="007F141F"/>
    <w:rsid w:val="00803886"/>
    <w:rsid w:val="00804EB7"/>
    <w:rsid w:val="00813049"/>
    <w:rsid w:val="00814389"/>
    <w:rsid w:val="00817D4D"/>
    <w:rsid w:val="00823823"/>
    <w:rsid w:val="008355A4"/>
    <w:rsid w:val="0084005D"/>
    <w:rsid w:val="00847EA4"/>
    <w:rsid w:val="00850B25"/>
    <w:rsid w:val="00864E26"/>
    <w:rsid w:val="00866F60"/>
    <w:rsid w:val="00893CA7"/>
    <w:rsid w:val="008B0C2C"/>
    <w:rsid w:val="008B77B1"/>
    <w:rsid w:val="008B7DD7"/>
    <w:rsid w:val="008E2D69"/>
    <w:rsid w:val="008E7F91"/>
    <w:rsid w:val="008F1B31"/>
    <w:rsid w:val="0090776B"/>
    <w:rsid w:val="00910D3F"/>
    <w:rsid w:val="00924018"/>
    <w:rsid w:val="00934E9E"/>
    <w:rsid w:val="00940544"/>
    <w:rsid w:val="00940FD4"/>
    <w:rsid w:val="00941053"/>
    <w:rsid w:val="00946B56"/>
    <w:rsid w:val="00963412"/>
    <w:rsid w:val="009654CA"/>
    <w:rsid w:val="00991B5F"/>
    <w:rsid w:val="009A596C"/>
    <w:rsid w:val="009B17F2"/>
    <w:rsid w:val="009B4C50"/>
    <w:rsid w:val="009B6EFC"/>
    <w:rsid w:val="009C7F7A"/>
    <w:rsid w:val="009D56A7"/>
    <w:rsid w:val="009F7E36"/>
    <w:rsid w:val="00A078B5"/>
    <w:rsid w:val="00A11075"/>
    <w:rsid w:val="00A20C7D"/>
    <w:rsid w:val="00A24412"/>
    <w:rsid w:val="00A27663"/>
    <w:rsid w:val="00A36896"/>
    <w:rsid w:val="00A4109D"/>
    <w:rsid w:val="00A43279"/>
    <w:rsid w:val="00A47510"/>
    <w:rsid w:val="00A61285"/>
    <w:rsid w:val="00A76C67"/>
    <w:rsid w:val="00A91F2A"/>
    <w:rsid w:val="00AA4B5D"/>
    <w:rsid w:val="00AA4BAD"/>
    <w:rsid w:val="00AA5E57"/>
    <w:rsid w:val="00AC0522"/>
    <w:rsid w:val="00AC70CE"/>
    <w:rsid w:val="00B00254"/>
    <w:rsid w:val="00B04EFB"/>
    <w:rsid w:val="00B11092"/>
    <w:rsid w:val="00B20FB4"/>
    <w:rsid w:val="00B23CA0"/>
    <w:rsid w:val="00B24D34"/>
    <w:rsid w:val="00B4300C"/>
    <w:rsid w:val="00B44779"/>
    <w:rsid w:val="00B60A21"/>
    <w:rsid w:val="00B67704"/>
    <w:rsid w:val="00B70A13"/>
    <w:rsid w:val="00B720F8"/>
    <w:rsid w:val="00B74043"/>
    <w:rsid w:val="00B86846"/>
    <w:rsid w:val="00B87398"/>
    <w:rsid w:val="00B92EC7"/>
    <w:rsid w:val="00B93CEB"/>
    <w:rsid w:val="00BA343A"/>
    <w:rsid w:val="00BB128E"/>
    <w:rsid w:val="00BB7077"/>
    <w:rsid w:val="00BC064B"/>
    <w:rsid w:val="00BC1778"/>
    <w:rsid w:val="00BC30D8"/>
    <w:rsid w:val="00BC450D"/>
    <w:rsid w:val="00BC7B6F"/>
    <w:rsid w:val="00BD6D9B"/>
    <w:rsid w:val="00C00836"/>
    <w:rsid w:val="00C01EDF"/>
    <w:rsid w:val="00C0653D"/>
    <w:rsid w:val="00C168AD"/>
    <w:rsid w:val="00C37BC9"/>
    <w:rsid w:val="00C447E4"/>
    <w:rsid w:val="00C50247"/>
    <w:rsid w:val="00C541DE"/>
    <w:rsid w:val="00C5652D"/>
    <w:rsid w:val="00C56EA0"/>
    <w:rsid w:val="00C85013"/>
    <w:rsid w:val="00C97882"/>
    <w:rsid w:val="00CA394A"/>
    <w:rsid w:val="00CC2DB7"/>
    <w:rsid w:val="00CD124D"/>
    <w:rsid w:val="00CD5B8D"/>
    <w:rsid w:val="00CE33F1"/>
    <w:rsid w:val="00CE4F92"/>
    <w:rsid w:val="00CF42DA"/>
    <w:rsid w:val="00D147DF"/>
    <w:rsid w:val="00D15D33"/>
    <w:rsid w:val="00D20BAD"/>
    <w:rsid w:val="00D20D97"/>
    <w:rsid w:val="00D2394A"/>
    <w:rsid w:val="00D263F3"/>
    <w:rsid w:val="00D3085F"/>
    <w:rsid w:val="00D33823"/>
    <w:rsid w:val="00D43F10"/>
    <w:rsid w:val="00D45027"/>
    <w:rsid w:val="00D4542E"/>
    <w:rsid w:val="00D5038D"/>
    <w:rsid w:val="00D50F67"/>
    <w:rsid w:val="00D53A19"/>
    <w:rsid w:val="00D640A6"/>
    <w:rsid w:val="00D73AF7"/>
    <w:rsid w:val="00D748E0"/>
    <w:rsid w:val="00D90679"/>
    <w:rsid w:val="00D97A61"/>
    <w:rsid w:val="00DA0A94"/>
    <w:rsid w:val="00DA1604"/>
    <w:rsid w:val="00DB11CD"/>
    <w:rsid w:val="00DB4BD2"/>
    <w:rsid w:val="00DB5F57"/>
    <w:rsid w:val="00DC21E4"/>
    <w:rsid w:val="00DC56E2"/>
    <w:rsid w:val="00DD1736"/>
    <w:rsid w:val="00DE36F2"/>
    <w:rsid w:val="00DE582B"/>
    <w:rsid w:val="00DF1859"/>
    <w:rsid w:val="00DF7E35"/>
    <w:rsid w:val="00E01451"/>
    <w:rsid w:val="00E066B1"/>
    <w:rsid w:val="00E133E5"/>
    <w:rsid w:val="00E172AA"/>
    <w:rsid w:val="00E33195"/>
    <w:rsid w:val="00E33728"/>
    <w:rsid w:val="00E41B99"/>
    <w:rsid w:val="00E67499"/>
    <w:rsid w:val="00EA056E"/>
    <w:rsid w:val="00EC4C9D"/>
    <w:rsid w:val="00ED0D60"/>
    <w:rsid w:val="00ED7C4A"/>
    <w:rsid w:val="00EE1A7A"/>
    <w:rsid w:val="00EF00B1"/>
    <w:rsid w:val="00EF296A"/>
    <w:rsid w:val="00EF3419"/>
    <w:rsid w:val="00F127F9"/>
    <w:rsid w:val="00F12C76"/>
    <w:rsid w:val="00F12EEA"/>
    <w:rsid w:val="00F21E74"/>
    <w:rsid w:val="00F30FD3"/>
    <w:rsid w:val="00F3127E"/>
    <w:rsid w:val="00F435D3"/>
    <w:rsid w:val="00F45224"/>
    <w:rsid w:val="00F46AF4"/>
    <w:rsid w:val="00F711BB"/>
    <w:rsid w:val="00F72E24"/>
    <w:rsid w:val="00F950FA"/>
    <w:rsid w:val="00FA6A2B"/>
    <w:rsid w:val="00FD0BB9"/>
    <w:rsid w:val="00FD79B3"/>
    <w:rsid w:val="00FE1495"/>
    <w:rsid w:val="00FE52C8"/>
    <w:rsid w:val="00FE5489"/>
    <w:rsid w:val="00FF4447"/>
    <w:rsid w:val="00FF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8623F"/>
  <w15:docId w15:val="{5D8E293A-D179-4F45-A855-70EE458A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60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C6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C603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0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054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A58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58E6"/>
  </w:style>
  <w:style w:type="paragraph" w:styleId="Pidipagina">
    <w:name w:val="footer"/>
    <w:basedOn w:val="Normale"/>
    <w:link w:val="PidipaginaCarattere"/>
    <w:uiPriority w:val="99"/>
    <w:unhideWhenUsed/>
    <w:rsid w:val="001A58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58E6"/>
  </w:style>
  <w:style w:type="paragraph" w:styleId="Corpotesto">
    <w:name w:val="Body Text"/>
    <w:basedOn w:val="Normale"/>
    <w:link w:val="CorpotestoCarattere"/>
    <w:semiHidden/>
    <w:rsid w:val="00C56EA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C56EA0"/>
    <w:rPr>
      <w:rFonts w:ascii="Times New Roman" w:eastAsia="Times New Roman" w:hAnsi="Times New Roman" w:cs="Times New Roman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D3382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15463B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after="0" w:line="240" w:lineRule="auto"/>
      <w:ind w:left="1701" w:right="142"/>
    </w:pPr>
    <w:rPr>
      <w:rFonts w:ascii="Titillium" w:hAnsi="Titillium" w:cs="Titillium Web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5463B"/>
    <w:rPr>
      <w:rFonts w:ascii="Titillium" w:hAnsi="Titillium" w:cs="Titillium Web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5463B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154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A20C7D"/>
    <w:pPr>
      <w:spacing w:after="0" w:line="240" w:lineRule="auto"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63412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63412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63412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545E7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45E7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45E7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45E7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45E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10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6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8D85A-556E-4897-BACE-6BD518F7A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Personale dipendente dichiarazioni sui conflitti d’interessi</vt:lpstr>
    </vt:vector>
  </TitlesOfParts>
  <Company>Hewlett-Packard Company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Personale dipendente dichiarazioni sui conflitti d’interessi</dc:title>
  <dc:creator>Berrocal Brigita Lily</dc:creator>
  <cp:lastModifiedBy>Edoardo Lancione</cp:lastModifiedBy>
  <cp:revision>5</cp:revision>
  <cp:lastPrinted>2023-10-19T13:09:00Z</cp:lastPrinted>
  <dcterms:created xsi:type="dcterms:W3CDTF">2026-04-01T16:25:00Z</dcterms:created>
  <dcterms:modified xsi:type="dcterms:W3CDTF">2026-05-17T16:40:00Z</dcterms:modified>
</cp:coreProperties>
</file>